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0E87D85">
      <w:pPr>
        <w:spacing w:line="360" w:lineRule="auto"/>
        <w:jc w:val="left"/>
        <w:outlineLvl w:val="0"/>
        <w:rPr>
          <w:rFonts w:hint="eastAsia" w:ascii="仿宋" w:hAnsi="仿宋" w:eastAsia="仿宋" w:cs="仿宋"/>
          <w:b/>
          <w:bCs/>
          <w:color w:val="auto"/>
          <w:sz w:val="24"/>
          <w:szCs w:val="24"/>
          <w:highlight w:val="none"/>
          <w:lang w:val="en-US" w:eastAsia="zh-CN"/>
        </w:rPr>
      </w:pPr>
      <w:bookmarkStart w:id="0" w:name="_GoBack"/>
      <w:bookmarkEnd w:id="0"/>
      <w:r>
        <w:rPr>
          <w:rFonts w:hint="eastAsia" w:ascii="仿宋" w:hAnsi="仿宋" w:eastAsia="仿宋" w:cs="仿宋"/>
          <w:b/>
          <w:bCs/>
          <w:color w:val="auto"/>
          <w:sz w:val="24"/>
          <w:szCs w:val="24"/>
          <w:highlight w:val="none"/>
          <w:lang w:val="en-US" w:eastAsia="zh-CN"/>
        </w:rPr>
        <w:t>附件2：</w:t>
      </w:r>
    </w:p>
    <w:p w14:paraId="4777C7FF">
      <w:pPr>
        <w:spacing w:line="360" w:lineRule="auto"/>
        <w:jc w:val="center"/>
        <w:outlineLvl w:val="0"/>
        <w:rPr>
          <w:rFonts w:hint="eastAsia" w:ascii="方正小标宋_GBK" w:hAnsi="方正小标宋_GBK" w:eastAsia="方正小标宋_GBK" w:cs="方正小标宋_GBK"/>
          <w:b/>
          <w:bCs/>
          <w:color w:val="auto"/>
          <w:sz w:val="32"/>
          <w:szCs w:val="32"/>
          <w:highlight w:val="none"/>
        </w:rPr>
      </w:pPr>
      <w:r>
        <w:rPr>
          <w:rFonts w:hint="eastAsia" w:ascii="方正小标宋_GBK" w:hAnsi="方正小标宋_GBK" w:eastAsia="方正小标宋_GBK" w:cs="方正小标宋_GBK"/>
          <w:b/>
          <w:bCs/>
          <w:color w:val="auto"/>
          <w:sz w:val="32"/>
          <w:szCs w:val="32"/>
          <w:highlight w:val="none"/>
        </w:rPr>
        <w:t>广州医科大学附属第三医院2026</w:t>
      </w:r>
      <w:r>
        <w:rPr>
          <w:rFonts w:hint="eastAsia" w:ascii="方正小标宋_GBK" w:hAnsi="方正小标宋_GBK" w:eastAsia="方正小标宋_GBK" w:cs="方正小标宋_GBK"/>
          <w:b/>
          <w:bCs/>
          <w:color w:val="auto"/>
          <w:sz w:val="32"/>
          <w:szCs w:val="32"/>
          <w:highlight w:val="none"/>
          <w:lang w:val="en-US" w:eastAsia="zh-CN"/>
        </w:rPr>
        <w:t>-2027</w:t>
      </w:r>
      <w:r>
        <w:rPr>
          <w:rFonts w:hint="eastAsia" w:ascii="方正小标宋_GBK" w:hAnsi="方正小标宋_GBK" w:eastAsia="方正小标宋_GBK" w:cs="方正小标宋_GBK"/>
          <w:b/>
          <w:bCs/>
          <w:color w:val="auto"/>
          <w:sz w:val="32"/>
          <w:szCs w:val="32"/>
          <w:highlight w:val="none"/>
        </w:rPr>
        <w:t>年度医务社工服务</w:t>
      </w:r>
    </w:p>
    <w:p w14:paraId="5C037AEF">
      <w:pPr>
        <w:spacing w:line="360" w:lineRule="auto"/>
        <w:jc w:val="center"/>
        <w:outlineLvl w:val="0"/>
        <w:rPr>
          <w:rFonts w:hint="eastAsia" w:ascii="方正小标宋_GBK" w:hAnsi="方正小标宋_GBK" w:eastAsia="方正小标宋_GBK" w:cs="方正小标宋_GBK"/>
          <w:b/>
          <w:bCs/>
          <w:color w:val="auto"/>
          <w:sz w:val="32"/>
          <w:szCs w:val="32"/>
          <w:highlight w:val="none"/>
        </w:rPr>
      </w:pPr>
      <w:r>
        <w:rPr>
          <w:rFonts w:hint="eastAsia" w:ascii="方正小标宋_GBK" w:hAnsi="方正小标宋_GBK" w:eastAsia="方正小标宋_GBK" w:cs="方正小标宋_GBK"/>
          <w:b/>
          <w:bCs/>
          <w:color w:val="auto"/>
          <w:sz w:val="32"/>
          <w:szCs w:val="32"/>
          <w:highlight w:val="none"/>
        </w:rPr>
        <w:t>项目需求书</w:t>
      </w:r>
    </w:p>
    <w:p w14:paraId="6646EFD7">
      <w:pPr>
        <w:spacing w:line="360" w:lineRule="auto"/>
        <w:rPr>
          <w:rFonts w:ascii="宋体" w:hAnsi="宋体" w:cs="宋体"/>
          <w:color w:val="auto"/>
          <w:szCs w:val="21"/>
          <w:highlight w:val="none"/>
        </w:rPr>
      </w:pPr>
    </w:p>
    <w:p w14:paraId="2BE738D8">
      <w:pPr>
        <w:adjustRightInd w:val="0"/>
        <w:snapToGrid w:val="0"/>
        <w:spacing w:line="360" w:lineRule="auto"/>
        <w:outlineLvl w:val="0"/>
        <w:rPr>
          <w:rFonts w:ascii="宋体" w:hAnsi="宋体" w:cs="宋体"/>
          <w:b/>
          <w:bCs/>
          <w:color w:val="auto"/>
          <w:sz w:val="28"/>
          <w:szCs w:val="28"/>
          <w:highlight w:val="none"/>
        </w:rPr>
      </w:pPr>
      <w:r>
        <w:rPr>
          <w:rFonts w:hint="eastAsia" w:ascii="宋体" w:hAnsi="宋体" w:cs="宋体"/>
          <w:b/>
          <w:bCs/>
          <w:color w:val="auto"/>
          <w:sz w:val="28"/>
          <w:szCs w:val="28"/>
          <w:highlight w:val="none"/>
        </w:rPr>
        <w:t>一、采购概况</w:t>
      </w:r>
    </w:p>
    <w:tbl>
      <w:tblPr>
        <w:tblStyle w:val="17"/>
        <w:tblW w:w="846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436"/>
        <w:gridCol w:w="2025"/>
        <w:gridCol w:w="3004"/>
      </w:tblGrid>
      <w:tr w14:paraId="129AC6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5" w:hRule="atLeast"/>
        </w:trPr>
        <w:tc>
          <w:tcPr>
            <w:tcW w:w="3436" w:type="dxa"/>
            <w:noWrap w:val="0"/>
            <w:vAlign w:val="center"/>
          </w:tcPr>
          <w:p w14:paraId="7C3EE8E3">
            <w:pPr>
              <w:spacing w:line="0" w:lineRule="atLeast"/>
              <w:jc w:val="center"/>
              <w:rPr>
                <w:rFonts w:hint="eastAsia" w:ascii="仿宋" w:hAnsi="仿宋" w:eastAsia="仿宋" w:cs="仿宋"/>
                <w:b/>
                <w:bCs w:val="0"/>
                <w:color w:val="auto"/>
                <w:sz w:val="24"/>
                <w:szCs w:val="24"/>
                <w:highlight w:val="none"/>
              </w:rPr>
            </w:pPr>
            <w:r>
              <w:rPr>
                <w:rFonts w:hint="eastAsia" w:ascii="仿宋" w:hAnsi="仿宋" w:eastAsia="仿宋" w:cs="仿宋"/>
                <w:b/>
                <w:bCs w:val="0"/>
                <w:color w:val="auto"/>
                <w:sz w:val="24"/>
                <w:szCs w:val="24"/>
                <w:highlight w:val="none"/>
              </w:rPr>
              <w:t>采购服务内容</w:t>
            </w:r>
          </w:p>
        </w:tc>
        <w:tc>
          <w:tcPr>
            <w:tcW w:w="2025" w:type="dxa"/>
            <w:noWrap w:val="0"/>
            <w:vAlign w:val="center"/>
          </w:tcPr>
          <w:p w14:paraId="548F8B80">
            <w:pPr>
              <w:spacing w:line="0" w:lineRule="atLeast"/>
              <w:jc w:val="center"/>
              <w:rPr>
                <w:rFonts w:hint="eastAsia" w:ascii="仿宋" w:hAnsi="仿宋" w:eastAsia="仿宋" w:cs="仿宋"/>
                <w:b/>
                <w:bCs w:val="0"/>
                <w:color w:val="auto"/>
                <w:sz w:val="24"/>
                <w:szCs w:val="24"/>
                <w:highlight w:val="none"/>
              </w:rPr>
            </w:pPr>
            <w:r>
              <w:rPr>
                <w:rFonts w:hint="eastAsia" w:ascii="仿宋" w:hAnsi="仿宋" w:eastAsia="仿宋" w:cs="仿宋"/>
                <w:b/>
                <w:bCs w:val="0"/>
                <w:color w:val="auto"/>
                <w:sz w:val="24"/>
                <w:szCs w:val="24"/>
                <w:highlight w:val="none"/>
              </w:rPr>
              <w:t>服务期</w:t>
            </w:r>
          </w:p>
        </w:tc>
        <w:tc>
          <w:tcPr>
            <w:tcW w:w="3004" w:type="dxa"/>
            <w:noWrap w:val="0"/>
            <w:vAlign w:val="center"/>
          </w:tcPr>
          <w:p w14:paraId="145E6EDE">
            <w:pPr>
              <w:spacing w:line="0" w:lineRule="atLeast"/>
              <w:jc w:val="center"/>
              <w:rPr>
                <w:rFonts w:hint="eastAsia" w:ascii="仿宋" w:hAnsi="仿宋" w:eastAsia="仿宋" w:cs="仿宋"/>
                <w:b/>
                <w:bCs w:val="0"/>
                <w:color w:val="auto"/>
                <w:sz w:val="24"/>
                <w:szCs w:val="24"/>
                <w:highlight w:val="none"/>
              </w:rPr>
            </w:pPr>
            <w:r>
              <w:rPr>
                <w:rFonts w:hint="eastAsia" w:ascii="仿宋" w:hAnsi="仿宋" w:eastAsia="仿宋" w:cs="仿宋"/>
                <w:b/>
                <w:bCs w:val="0"/>
                <w:color w:val="auto"/>
                <w:sz w:val="24"/>
                <w:szCs w:val="24"/>
                <w:highlight w:val="none"/>
              </w:rPr>
              <w:t>采购预算</w:t>
            </w:r>
          </w:p>
        </w:tc>
      </w:tr>
      <w:tr w14:paraId="1C4DDE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3" w:hRule="atLeast"/>
        </w:trPr>
        <w:tc>
          <w:tcPr>
            <w:tcW w:w="3436" w:type="dxa"/>
            <w:noWrap w:val="0"/>
            <w:vAlign w:val="center"/>
          </w:tcPr>
          <w:p w14:paraId="6D7FF9E8">
            <w:pPr>
              <w:spacing w:line="0" w:lineRule="atLeast"/>
              <w:jc w:val="center"/>
              <w:rPr>
                <w:rFonts w:hint="eastAsia" w:ascii="仿宋" w:hAnsi="仿宋" w:eastAsia="仿宋" w:cs="仿宋"/>
                <w:bCs/>
                <w:color w:val="auto"/>
                <w:sz w:val="24"/>
                <w:szCs w:val="24"/>
                <w:highlight w:val="none"/>
              </w:rPr>
            </w:pPr>
            <w:r>
              <w:rPr>
                <w:rFonts w:hint="eastAsia" w:ascii="仿宋" w:hAnsi="仿宋" w:eastAsia="仿宋" w:cs="仿宋"/>
                <w:bCs/>
                <w:color w:val="auto"/>
                <w:sz w:val="24"/>
                <w:szCs w:val="24"/>
                <w:highlight w:val="none"/>
              </w:rPr>
              <w:t>广州医科大学附属第三医院</w:t>
            </w:r>
          </w:p>
          <w:p w14:paraId="4CA4552F">
            <w:pPr>
              <w:spacing w:line="0" w:lineRule="atLeast"/>
              <w:jc w:val="center"/>
              <w:rPr>
                <w:rFonts w:hint="eastAsia" w:ascii="仿宋" w:hAnsi="仿宋" w:eastAsia="仿宋" w:cs="仿宋"/>
                <w:bCs/>
                <w:color w:val="auto"/>
                <w:sz w:val="24"/>
                <w:szCs w:val="24"/>
                <w:highlight w:val="none"/>
              </w:rPr>
            </w:pPr>
            <w:r>
              <w:rPr>
                <w:rFonts w:hint="eastAsia" w:ascii="仿宋" w:hAnsi="仿宋" w:eastAsia="仿宋" w:cs="仿宋"/>
                <w:bCs/>
                <w:color w:val="auto"/>
                <w:sz w:val="24"/>
                <w:szCs w:val="24"/>
                <w:highlight w:val="none"/>
              </w:rPr>
              <w:t>医务社工服务</w:t>
            </w:r>
          </w:p>
        </w:tc>
        <w:tc>
          <w:tcPr>
            <w:tcW w:w="2025" w:type="dxa"/>
            <w:noWrap w:val="0"/>
            <w:vAlign w:val="center"/>
          </w:tcPr>
          <w:p w14:paraId="2652D369">
            <w:pPr>
              <w:spacing w:line="0" w:lineRule="atLeast"/>
              <w:jc w:val="center"/>
              <w:rPr>
                <w:rFonts w:hint="eastAsia" w:ascii="仿宋" w:hAnsi="仿宋" w:eastAsia="仿宋" w:cs="仿宋"/>
                <w:bCs/>
                <w:color w:val="auto"/>
                <w:sz w:val="24"/>
                <w:szCs w:val="24"/>
                <w:highlight w:val="none"/>
              </w:rPr>
            </w:pPr>
            <w:r>
              <w:rPr>
                <w:rFonts w:hint="eastAsia" w:ascii="仿宋" w:hAnsi="仿宋" w:eastAsia="仿宋" w:cs="仿宋"/>
                <w:bCs/>
                <w:color w:val="auto"/>
                <w:sz w:val="24"/>
                <w:szCs w:val="24"/>
                <w:highlight w:val="none"/>
              </w:rPr>
              <w:t>12个月</w:t>
            </w:r>
          </w:p>
        </w:tc>
        <w:tc>
          <w:tcPr>
            <w:tcW w:w="3004" w:type="dxa"/>
            <w:noWrap w:val="0"/>
            <w:vAlign w:val="center"/>
          </w:tcPr>
          <w:p w14:paraId="05CC2FB7">
            <w:pPr>
              <w:spacing w:line="0" w:lineRule="atLeast"/>
              <w:jc w:val="center"/>
              <w:rPr>
                <w:rFonts w:hint="eastAsia" w:ascii="仿宋" w:hAnsi="仿宋" w:eastAsia="仿宋" w:cs="仿宋"/>
                <w:bCs/>
                <w:color w:val="auto"/>
                <w:sz w:val="24"/>
                <w:szCs w:val="24"/>
                <w:highlight w:val="none"/>
                <w:lang w:val="en-US" w:eastAsia="zh-CN"/>
              </w:rPr>
            </w:pPr>
            <w:r>
              <w:rPr>
                <w:rFonts w:hint="eastAsia" w:ascii="仿宋" w:hAnsi="仿宋" w:eastAsia="仿宋" w:cs="仿宋"/>
                <w:bCs/>
                <w:color w:val="auto"/>
                <w:sz w:val="24"/>
                <w:szCs w:val="24"/>
                <w:highlight w:val="none"/>
              </w:rPr>
              <w:t>人民币</w:t>
            </w:r>
            <w:r>
              <w:rPr>
                <w:rFonts w:hint="eastAsia" w:ascii="仿宋" w:hAnsi="仿宋" w:eastAsia="仿宋" w:cs="仿宋"/>
                <w:bCs/>
                <w:color w:val="auto"/>
                <w:sz w:val="24"/>
                <w:szCs w:val="24"/>
                <w:highlight w:val="none"/>
                <w:lang w:val="en-US" w:eastAsia="zh-CN"/>
              </w:rPr>
              <w:t>13.5</w:t>
            </w:r>
            <w:r>
              <w:rPr>
                <w:rFonts w:hint="eastAsia" w:ascii="仿宋" w:hAnsi="仿宋" w:eastAsia="仿宋" w:cs="仿宋"/>
                <w:bCs/>
                <w:color w:val="auto"/>
                <w:sz w:val="24"/>
                <w:szCs w:val="24"/>
                <w:highlight w:val="none"/>
              </w:rPr>
              <w:t>万</w:t>
            </w:r>
            <w:r>
              <w:rPr>
                <w:rFonts w:hint="eastAsia" w:ascii="仿宋" w:hAnsi="仿宋" w:eastAsia="仿宋" w:cs="仿宋"/>
                <w:bCs/>
                <w:color w:val="auto"/>
                <w:sz w:val="24"/>
                <w:szCs w:val="24"/>
                <w:highlight w:val="none"/>
                <w:lang w:val="en-US" w:eastAsia="zh-CN"/>
              </w:rPr>
              <w:t>元</w:t>
            </w:r>
          </w:p>
        </w:tc>
      </w:tr>
    </w:tbl>
    <w:p w14:paraId="50D3F185">
      <w:pPr>
        <w:adjustRightInd w:val="0"/>
        <w:snapToGrid w:val="0"/>
        <w:spacing w:line="360" w:lineRule="auto"/>
        <w:outlineLvl w:val="0"/>
        <w:rPr>
          <w:rFonts w:hint="eastAsia" w:ascii="宋体" w:hAnsi="宋体" w:cs="宋体"/>
          <w:b/>
          <w:bCs/>
          <w:color w:val="auto"/>
          <w:sz w:val="28"/>
          <w:szCs w:val="28"/>
          <w:highlight w:val="none"/>
        </w:rPr>
      </w:pPr>
    </w:p>
    <w:p w14:paraId="0D23766D">
      <w:pPr>
        <w:adjustRightInd w:val="0"/>
        <w:snapToGrid w:val="0"/>
        <w:spacing w:line="360" w:lineRule="auto"/>
        <w:outlineLvl w:val="0"/>
      </w:pPr>
      <w:r>
        <w:rPr>
          <w:rFonts w:hint="eastAsia" w:ascii="宋体" w:hAnsi="宋体" w:cs="宋体"/>
          <w:b/>
          <w:bCs/>
          <w:color w:val="auto"/>
          <w:sz w:val="28"/>
          <w:szCs w:val="28"/>
          <w:highlight w:val="none"/>
        </w:rPr>
        <w:t>二、项目概况：</w:t>
      </w:r>
    </w:p>
    <w:p w14:paraId="254F5469">
      <w:pPr>
        <w:spacing w:line="360" w:lineRule="auto"/>
        <w:ind w:firstLine="468" w:firstLineChars="200"/>
        <w:rPr>
          <w:rFonts w:hint="eastAsia" w:ascii="仿宋" w:hAnsi="仿宋" w:eastAsia="仿宋" w:cs="仿宋"/>
          <w:color w:val="auto"/>
          <w:spacing w:val="-3"/>
          <w:sz w:val="24"/>
          <w:szCs w:val="24"/>
          <w:highlight w:val="none"/>
          <w:lang w:val="en-US" w:eastAsia="zh-CN"/>
        </w:rPr>
      </w:pPr>
      <w:r>
        <w:rPr>
          <w:rFonts w:hint="eastAsia" w:ascii="仿宋" w:hAnsi="仿宋" w:eastAsia="仿宋" w:cs="仿宋"/>
          <w:color w:val="auto"/>
          <w:spacing w:val="-3"/>
          <w:sz w:val="24"/>
          <w:szCs w:val="24"/>
          <w:highlight w:val="none"/>
          <w:lang w:val="en-US" w:eastAsia="zh-CN"/>
        </w:rPr>
        <w:t>为落实健康中国战略、积极生育支持与人口高质量发展相关部署，国家、省层面相继出台政策，推动医疗机构完善医务社工、志愿服务与医学人文关怀服务，构建全生命周期的医疗人文支持体系。</w:t>
      </w:r>
      <w:r>
        <w:rPr>
          <w:rFonts w:hint="eastAsia" w:ascii="仿宋" w:hAnsi="仿宋" w:eastAsia="仿宋" w:cs="仿宋"/>
          <w:b w:val="0"/>
          <w:bCs w:val="0"/>
          <w:color w:val="auto"/>
          <w:spacing w:val="-3"/>
          <w:sz w:val="24"/>
          <w:szCs w:val="24"/>
          <w:highlight w:val="none"/>
          <w:lang w:val="en-US" w:eastAsia="zh-CN"/>
        </w:rPr>
        <w:t>2026年7月，</w:t>
      </w:r>
      <w:r>
        <w:rPr>
          <w:rFonts w:hint="eastAsia" w:ascii="仿宋" w:hAnsi="仿宋" w:eastAsia="仿宋" w:cs="仿宋"/>
          <w:b/>
          <w:bCs/>
          <w:color w:val="auto"/>
          <w:spacing w:val="-3"/>
          <w:sz w:val="24"/>
          <w:szCs w:val="24"/>
          <w:highlight w:val="none"/>
          <w:lang w:val="en-US" w:eastAsia="zh-CN"/>
        </w:rPr>
        <w:t>国务院印发《国民健康“十五五”规划》提到，要加强医学人文关怀。健全医务社工和志愿服务制度</w:t>
      </w:r>
      <w:r>
        <w:rPr>
          <w:rFonts w:hint="eastAsia" w:ascii="仿宋" w:hAnsi="仿宋" w:eastAsia="仿宋" w:cs="仿宋"/>
          <w:color w:val="auto"/>
          <w:spacing w:val="-3"/>
          <w:sz w:val="24"/>
          <w:szCs w:val="24"/>
          <w:highlight w:val="none"/>
          <w:lang w:val="en-US" w:eastAsia="zh-CN"/>
        </w:rPr>
        <w:t>，鼓励医疗机构使用医务社工，推动提供导诊等患者支持服务。2025年10月，</w:t>
      </w:r>
      <w:r>
        <w:rPr>
          <w:rFonts w:hint="eastAsia" w:ascii="仿宋" w:hAnsi="仿宋" w:eastAsia="仿宋" w:cs="仿宋"/>
          <w:b/>
          <w:bCs/>
          <w:color w:val="auto"/>
          <w:spacing w:val="-3"/>
          <w:sz w:val="24"/>
          <w:szCs w:val="24"/>
          <w:highlight w:val="none"/>
          <w:lang w:val="en-US" w:eastAsia="zh-CN"/>
        </w:rPr>
        <w:t>《中共中央关于制定国民经济和社会发展第十五个五年规划的建议》提出健全社会工作体制机制，加强社会工作者队伍建设</w:t>
      </w:r>
      <w:r>
        <w:rPr>
          <w:rFonts w:hint="eastAsia" w:ascii="仿宋" w:hAnsi="仿宋" w:eastAsia="仿宋" w:cs="仿宋"/>
          <w:color w:val="auto"/>
          <w:spacing w:val="-3"/>
          <w:sz w:val="24"/>
          <w:szCs w:val="24"/>
          <w:highlight w:val="none"/>
          <w:lang w:val="en-US" w:eastAsia="zh-CN"/>
        </w:rPr>
        <w:t>，提高专业化服务水平，健全社会心理服务体系，强化困难弱势群体关爱保障。</w:t>
      </w:r>
      <w:r>
        <w:rPr>
          <w:rFonts w:hint="eastAsia" w:ascii="仿宋" w:hAnsi="仿宋" w:eastAsia="仿宋" w:cs="仿宋"/>
          <w:color w:val="auto"/>
          <w:spacing w:val="-3"/>
          <w:sz w:val="24"/>
          <w:szCs w:val="24"/>
          <w:highlight w:val="none"/>
          <w:lang w:val="en-US" w:eastAsia="zh-CN"/>
        </w:rPr>
        <w:br w:type="textWrapping"/>
      </w:r>
      <w:r>
        <w:rPr>
          <w:rFonts w:hint="eastAsia" w:ascii="仿宋" w:hAnsi="仿宋" w:eastAsia="仿宋" w:cs="仿宋"/>
          <w:color w:val="auto"/>
          <w:spacing w:val="-3"/>
          <w:sz w:val="24"/>
          <w:szCs w:val="24"/>
          <w:highlight w:val="none"/>
          <w:lang w:val="en-US" w:eastAsia="zh-CN"/>
        </w:rPr>
        <w:t xml:space="preserve">    2024年10月，</w:t>
      </w:r>
      <w:r>
        <w:rPr>
          <w:rFonts w:hint="eastAsia" w:ascii="仿宋" w:hAnsi="仿宋" w:eastAsia="仿宋" w:cs="仿宋"/>
          <w:b/>
          <w:bCs/>
          <w:color w:val="auto"/>
          <w:spacing w:val="-3"/>
          <w:sz w:val="24"/>
          <w:szCs w:val="24"/>
          <w:highlight w:val="none"/>
          <w:lang w:val="en-US" w:eastAsia="zh-CN"/>
        </w:rPr>
        <w:t>国家卫生健康委印发《医学人文关怀提升行动方案（2024‑2027 年）》</w:t>
      </w:r>
      <w:r>
        <w:rPr>
          <w:rFonts w:hint="eastAsia" w:ascii="仿宋" w:hAnsi="仿宋" w:eastAsia="仿宋" w:cs="仿宋"/>
          <w:color w:val="auto"/>
          <w:spacing w:val="-3"/>
          <w:sz w:val="24"/>
          <w:szCs w:val="24"/>
          <w:highlight w:val="none"/>
          <w:lang w:val="en-US" w:eastAsia="zh-CN"/>
        </w:rPr>
        <w:t>，明确要求医疗机构丰富医务社工服务内容，协助开展医患沟通，提供诊疗、生活、法务、援助等患者支持服务；鼓励医务人员、医学生及社会爱心人士经规范化培训参与志愿服务，发挥医务社工与志愿者在医患和谐中的桥梁纽带作用，持续强化医学人文关怀，增进医患沟通，提升群众就医获得感与满意度。</w:t>
      </w:r>
      <w:r>
        <w:rPr>
          <w:rFonts w:hint="eastAsia" w:ascii="仿宋" w:hAnsi="仿宋" w:eastAsia="仿宋" w:cs="仿宋"/>
          <w:b/>
          <w:bCs/>
          <w:color w:val="auto"/>
          <w:spacing w:val="-3"/>
          <w:sz w:val="24"/>
          <w:szCs w:val="24"/>
          <w:highlight w:val="none"/>
          <w:lang w:val="en-US" w:eastAsia="zh-CN"/>
        </w:rPr>
        <w:t>同年 12 月，国家卫健委印发《关于推进生育友好医院建设的意见》</w:t>
      </w:r>
      <w:r>
        <w:rPr>
          <w:rFonts w:hint="eastAsia" w:ascii="仿宋" w:hAnsi="仿宋" w:eastAsia="仿宋" w:cs="仿宋"/>
          <w:color w:val="auto"/>
          <w:spacing w:val="-3"/>
          <w:sz w:val="24"/>
          <w:szCs w:val="24"/>
          <w:highlight w:val="none"/>
          <w:lang w:val="en-US" w:eastAsia="zh-CN"/>
        </w:rPr>
        <w:t>，立足人口高质量发展大局，提出建设生育友好医院，推动实现广大育龄妇女 “孕得优、生得安、育得好”，文件提出有条件的医疗机构可依托医务社工及志愿服务，拓展孕产期、新生儿家庭的人文支持服务，兼顾院内服务与面向社区的生育友好理念传播，为助产医疗机构开展孕产妇、新生儿及早产儿家庭社会心理支持、院内外联动服务提供政策指引。</w:t>
      </w:r>
    </w:p>
    <w:p w14:paraId="07965FF9">
      <w:pPr>
        <w:spacing w:line="360" w:lineRule="auto"/>
        <w:ind w:firstLine="468" w:firstLineChars="200"/>
        <w:rPr>
          <w:rFonts w:hint="eastAsia" w:ascii="仿宋" w:hAnsi="仿宋" w:eastAsia="仿宋" w:cs="仿宋"/>
          <w:color w:val="auto"/>
          <w:spacing w:val="-3"/>
          <w:sz w:val="24"/>
          <w:szCs w:val="24"/>
          <w:highlight w:val="none"/>
          <w:lang w:val="en-US" w:eastAsia="zh-CN"/>
        </w:rPr>
      </w:pPr>
      <w:r>
        <w:rPr>
          <w:rFonts w:hint="eastAsia" w:ascii="仿宋" w:hAnsi="仿宋" w:eastAsia="仿宋" w:cs="仿宋"/>
          <w:color w:val="auto"/>
          <w:spacing w:val="-3"/>
          <w:sz w:val="24"/>
          <w:szCs w:val="24"/>
          <w:highlight w:val="none"/>
          <w:lang w:val="en-US" w:eastAsia="zh-CN"/>
        </w:rPr>
        <w:t>在上述政策框架下，医务社会工作是现代医疗服务体系不可或缺的组成部分，是衔接临床医疗、人文关怀与社会资源的重要载体。医务社工通过个案管理、心理‑社会支持、资源链接、医患沟通协调、志愿服务管理、实践总结研究等多元专业手法，既为院内困境患者家庭提供支持，也可推动院内服务向社区外展延伸，助力生育友好、儿童友好医院建设。为进一步推动社会工作与临床医务深度融合，结合本院临床业务特色，拟委托专业社会工作机构承接医务社工服务项目，面向院内重症孕产妇、早产儿家庭、患者家属、医护人员、院内志愿者等群体提供系统化、专业化社会工作服务；同时完善院内志愿服务全链条管理，开展志愿服务实践总结与课题类梳理，联动多元社会资源开展医务社工外展服务，探索形成适配广州本土妇幼特色的医务社会工作服务模式。</w:t>
      </w:r>
    </w:p>
    <w:p w14:paraId="527E7274">
      <w:pPr>
        <w:spacing w:line="360" w:lineRule="auto"/>
        <w:ind w:firstLine="468" w:firstLineChars="200"/>
        <w:rPr>
          <w:rFonts w:hint="eastAsia" w:ascii="仿宋" w:hAnsi="仿宋" w:eastAsia="仿宋" w:cs="仿宋"/>
          <w:color w:val="auto"/>
          <w:spacing w:val="-3"/>
          <w:sz w:val="24"/>
          <w:szCs w:val="24"/>
          <w:highlight w:val="none"/>
          <w:lang w:val="en-US" w:eastAsia="zh-CN"/>
        </w:rPr>
      </w:pPr>
      <w:r>
        <w:rPr>
          <w:rFonts w:hint="eastAsia" w:ascii="仿宋" w:hAnsi="仿宋" w:eastAsia="仿宋" w:cs="仿宋"/>
          <w:color w:val="auto"/>
          <w:spacing w:val="-3"/>
          <w:sz w:val="24"/>
          <w:szCs w:val="24"/>
          <w:highlight w:val="none"/>
          <w:lang w:val="en-US" w:eastAsia="zh-CN"/>
        </w:rPr>
        <w:t>广州医科大学附属第三医院（又称 “柔济医院”，原广州市第二人民医院）创办于 1899 年，是国内首家女子西医学校附属医院，拥有 126 年办院历史，1912 年孙中山先生曾亲临医院视察。作为国内妇产科重要发祥地，医院涌现出以 “南梁北林” 梁毅文教授为代表的医学名家，积淀形成 “柔心济世 尚道精医” 的百年院训精神。医院现为集医疗、教学、科研、预防保健于一体的大型三级甲等综合医院，构建形成 “一院四区” 发展布局：荔湾院区（本部）、黄埔院区、白云分院（白云区妇幼保健院）、粤西医院（电白区妇幼保健院），各院区实行同质化一体化管理，辐射广州及粤西区域群众健康需求。</w:t>
      </w:r>
    </w:p>
    <w:p w14:paraId="1ED18E79">
      <w:pPr>
        <w:spacing w:line="360" w:lineRule="auto"/>
        <w:ind w:firstLine="468" w:firstLineChars="200"/>
        <w:rPr>
          <w:rFonts w:hint="eastAsia" w:ascii="仿宋" w:hAnsi="仿宋" w:eastAsia="仿宋" w:cs="仿宋"/>
          <w:color w:val="auto"/>
          <w:spacing w:val="-3"/>
          <w:sz w:val="24"/>
          <w:szCs w:val="24"/>
          <w:highlight w:val="none"/>
          <w:lang w:val="en-US" w:eastAsia="zh-CN"/>
        </w:rPr>
      </w:pPr>
      <w:r>
        <w:rPr>
          <w:rFonts w:hint="eastAsia" w:ascii="仿宋" w:hAnsi="仿宋" w:eastAsia="仿宋" w:cs="仿宋"/>
          <w:color w:val="auto"/>
          <w:spacing w:val="-3"/>
          <w:sz w:val="24"/>
          <w:szCs w:val="24"/>
          <w:highlight w:val="none"/>
          <w:lang w:val="en-US" w:eastAsia="zh-CN"/>
        </w:rPr>
        <w:t>医院医教研协同实力雄厚，妇产学科全国知名，先后荣获 “全国卫生系统先进单位”“全国五一劳动奖状” 等国家级荣誉。产科为国家临床重点专科、国家孕产期保健特色专科，是广东省产科临床质量控制中心、省级产前诊断专项技术指导中心、省级重症新生儿救治中心。1998 年医院成立全国首个广州重症孕产妇救治中心，年收治重症孕产妇千例以上，抢救成功率达 99%，救治辐射全省及周边省份。生殖医学科于 1989 年诞生广东省第一、第二例试管婴儿，是国内较早开展辅助生殖技术的机构。新生儿科具备极强危重新生儿、超早产儿救治能力，承担大量危重新生儿、早产儿救治工作，大量早产儿家庭面临医疗照护、心理压力、经济负担、出院后照护适应等多元社会服务需求，具备开展早产儿家庭医务社工服务的现实场景基础。</w:t>
      </w:r>
    </w:p>
    <w:p w14:paraId="52CDE496">
      <w:pPr>
        <w:spacing w:line="360" w:lineRule="auto"/>
        <w:ind w:firstLine="468" w:firstLineChars="200"/>
        <w:rPr>
          <w:rFonts w:hint="eastAsia" w:ascii="仿宋" w:hAnsi="仿宋" w:eastAsia="仿宋" w:cs="仿宋"/>
          <w:color w:val="auto"/>
          <w:spacing w:val="-3"/>
          <w:sz w:val="24"/>
          <w:szCs w:val="24"/>
          <w:highlight w:val="none"/>
          <w:lang w:val="en-US" w:eastAsia="zh-CN"/>
        </w:rPr>
      </w:pPr>
      <w:r>
        <w:rPr>
          <w:rFonts w:hint="eastAsia" w:ascii="仿宋" w:hAnsi="仿宋" w:eastAsia="仿宋" w:cs="仿宋"/>
          <w:color w:val="auto"/>
          <w:spacing w:val="-3"/>
          <w:sz w:val="24"/>
          <w:szCs w:val="24"/>
          <w:highlight w:val="none"/>
          <w:lang w:val="en-US" w:eastAsia="zh-CN"/>
        </w:rPr>
        <w:t>作为广州市首批研究型医院，医院建有广州妇产科研究所、广州市妇产科临床医学研究所、广东省妇产疾病临床研究中心、广东省产科重大疾病重点实验室、院士工作站等一批省市级高水平科研平台。近五年承担国家重点研发计划、国家自然科学基金等各级科研项目 500 余项；2023 年妇产科学科技量值位列全国第 13 位、广东省第一。医院同时作为广州医科大学第三临床学院，承担本、硕、博完整医学人才培养，临床医学为一级学科博士点、硕士点，拥有博导 66 人、硕导 145 人，拥有全国优秀教师、国家级住培带教老师等优质师资力量。</w:t>
      </w:r>
    </w:p>
    <w:p w14:paraId="2DDE882E">
      <w:pPr>
        <w:spacing w:line="360" w:lineRule="auto"/>
        <w:ind w:firstLine="468" w:firstLineChars="200"/>
        <w:rPr>
          <w:rFonts w:hint="eastAsia" w:ascii="仿宋" w:hAnsi="仿宋" w:eastAsia="仿宋" w:cs="仿宋"/>
          <w:color w:val="auto"/>
          <w:spacing w:val="-3"/>
          <w:sz w:val="24"/>
          <w:szCs w:val="24"/>
          <w:highlight w:val="none"/>
          <w:lang w:val="en-US" w:eastAsia="zh-CN"/>
        </w:rPr>
      </w:pPr>
      <w:r>
        <w:rPr>
          <w:rFonts w:hint="eastAsia" w:ascii="仿宋" w:hAnsi="仿宋" w:eastAsia="仿宋" w:cs="仿宋"/>
          <w:color w:val="auto"/>
          <w:spacing w:val="-3"/>
          <w:sz w:val="24"/>
          <w:szCs w:val="24"/>
          <w:highlight w:val="none"/>
          <w:lang w:val="en-US" w:eastAsia="zh-CN"/>
        </w:rPr>
        <w:t>我院自2019年9月正式购买医务社工服务，在重症孕产妇关爱支持、个案帮扶救助、资源联动等方面取得了一定的成效，初步打造了具有我院特色的医疗社工服务品牌，建立了志愿者服务激励机制，获取了符合我院病种的各类基金资源。</w:t>
      </w:r>
    </w:p>
    <w:p w14:paraId="1257B795">
      <w:pPr>
        <w:spacing w:line="360" w:lineRule="auto"/>
        <w:ind w:firstLine="468" w:firstLineChars="200"/>
        <w:rPr>
          <w:rFonts w:hint="eastAsia" w:ascii="仿宋" w:hAnsi="仿宋" w:eastAsia="仿宋" w:cs="仿宋"/>
          <w:color w:val="auto"/>
          <w:spacing w:val="-3"/>
          <w:sz w:val="24"/>
          <w:szCs w:val="24"/>
          <w:highlight w:val="none"/>
          <w:lang w:val="en-US" w:eastAsia="zh-CN"/>
        </w:rPr>
      </w:pPr>
    </w:p>
    <w:p w14:paraId="0F44FB56">
      <w:pPr>
        <w:adjustRightInd w:val="0"/>
        <w:snapToGrid w:val="0"/>
        <w:spacing w:line="360" w:lineRule="auto"/>
        <w:outlineLvl w:val="0"/>
        <w:rPr>
          <w:rFonts w:ascii="宋体" w:hAnsi="宋体" w:cs="宋体"/>
          <w:b/>
          <w:bCs/>
          <w:color w:val="auto"/>
          <w:sz w:val="28"/>
          <w:szCs w:val="28"/>
          <w:highlight w:val="none"/>
        </w:rPr>
      </w:pPr>
      <w:r>
        <w:rPr>
          <w:rFonts w:hint="eastAsia" w:ascii="宋体" w:hAnsi="宋体" w:cs="宋体"/>
          <w:b/>
          <w:bCs/>
          <w:color w:val="auto"/>
          <w:sz w:val="28"/>
          <w:szCs w:val="28"/>
          <w:highlight w:val="none"/>
        </w:rPr>
        <w:t>三、项目要求</w:t>
      </w:r>
    </w:p>
    <w:p w14:paraId="75B3DF48">
      <w:pPr>
        <w:adjustRightInd w:val="0"/>
        <w:snapToGrid w:val="0"/>
        <w:spacing w:line="360" w:lineRule="auto"/>
        <w:ind w:firstLine="482" w:firstLineChars="200"/>
        <w:outlineLvl w:val="1"/>
        <w:rPr>
          <w:rFonts w:ascii="宋体" w:hAnsi="宋体" w:cs="宋体"/>
          <w:b/>
          <w:bCs/>
          <w:color w:val="auto"/>
          <w:sz w:val="24"/>
          <w:szCs w:val="24"/>
          <w:highlight w:val="none"/>
        </w:rPr>
      </w:pPr>
      <w:r>
        <w:rPr>
          <w:rFonts w:hint="eastAsia" w:ascii="宋体" w:hAnsi="宋体" w:cs="宋体"/>
          <w:b/>
          <w:bCs/>
          <w:color w:val="auto"/>
          <w:sz w:val="24"/>
          <w:szCs w:val="24"/>
          <w:highlight w:val="none"/>
        </w:rPr>
        <w:t>（一）项目总体目标</w:t>
      </w:r>
    </w:p>
    <w:p w14:paraId="31ADB814">
      <w:pPr>
        <w:adjustRightInd w:val="0"/>
        <w:snapToGrid w:val="0"/>
        <w:spacing w:line="360" w:lineRule="auto"/>
        <w:ind w:firstLine="468" w:firstLineChars="200"/>
        <w:outlineLvl w:val="1"/>
        <w:rPr>
          <w:rFonts w:hint="eastAsia" w:ascii="仿宋" w:hAnsi="仿宋" w:eastAsia="仿宋" w:cs="仿宋"/>
          <w:color w:val="auto"/>
          <w:spacing w:val="-3"/>
          <w:sz w:val="24"/>
          <w:szCs w:val="24"/>
          <w:highlight w:val="none"/>
          <w:lang w:eastAsia="zh-CN"/>
        </w:rPr>
      </w:pPr>
      <w:r>
        <w:rPr>
          <w:rFonts w:hint="eastAsia" w:ascii="仿宋" w:hAnsi="仿宋" w:eastAsia="仿宋" w:cs="仿宋"/>
          <w:color w:val="auto"/>
          <w:spacing w:val="-3"/>
          <w:sz w:val="24"/>
          <w:szCs w:val="24"/>
          <w:highlight w:val="none"/>
        </w:rPr>
        <w:t>整合院内外资源，围绕</w:t>
      </w:r>
      <w:r>
        <w:rPr>
          <w:rFonts w:hint="eastAsia" w:ascii="仿宋" w:hAnsi="仿宋" w:eastAsia="仿宋" w:cs="仿宋"/>
          <w:color w:val="auto"/>
          <w:spacing w:val="-3"/>
          <w:sz w:val="24"/>
          <w:szCs w:val="24"/>
          <w:highlight w:val="none"/>
          <w:lang w:val="en-US" w:eastAsia="zh-CN"/>
        </w:rPr>
        <w:t>困境孕产妇、早产儿及其家庭的</w:t>
      </w:r>
      <w:r>
        <w:rPr>
          <w:rFonts w:hint="eastAsia" w:ascii="仿宋" w:hAnsi="仿宋" w:eastAsia="仿宋" w:cs="仿宋"/>
          <w:color w:val="auto"/>
          <w:spacing w:val="-3"/>
          <w:sz w:val="24"/>
          <w:szCs w:val="24"/>
          <w:highlight w:val="none"/>
        </w:rPr>
        <w:t>全人健康需要，构建“医院-公益人文-社会资源”全程服务友好，为患者及家属打造更有 “温度”的医院服务支持；同时透过服务开展助力医院建设生育友好的人文关怀特色新名片</w:t>
      </w:r>
      <w:r>
        <w:rPr>
          <w:rFonts w:hint="eastAsia" w:ascii="仿宋" w:hAnsi="仿宋" w:eastAsia="仿宋" w:cs="仿宋"/>
          <w:color w:val="auto"/>
          <w:spacing w:val="-3"/>
          <w:sz w:val="24"/>
          <w:szCs w:val="24"/>
          <w:highlight w:val="none"/>
          <w:lang w:eastAsia="zh-CN"/>
        </w:rPr>
        <w:t>。</w:t>
      </w:r>
    </w:p>
    <w:p w14:paraId="5DA85D61">
      <w:pPr>
        <w:adjustRightInd w:val="0"/>
        <w:snapToGrid w:val="0"/>
        <w:spacing w:line="360" w:lineRule="auto"/>
        <w:ind w:firstLine="482" w:firstLineChars="200"/>
        <w:outlineLvl w:val="1"/>
        <w:rPr>
          <w:rFonts w:ascii="宋体" w:hAnsi="宋体" w:cs="宋体"/>
          <w:b/>
          <w:bCs/>
          <w:color w:val="auto"/>
          <w:sz w:val="24"/>
          <w:szCs w:val="24"/>
          <w:highlight w:val="none"/>
        </w:rPr>
      </w:pPr>
      <w:r>
        <w:rPr>
          <w:rFonts w:hint="eastAsia" w:ascii="宋体" w:hAnsi="宋体" w:cs="宋体"/>
          <w:b/>
          <w:bCs/>
          <w:color w:val="auto"/>
          <w:sz w:val="24"/>
          <w:szCs w:val="24"/>
          <w:highlight w:val="none"/>
        </w:rPr>
        <w:t>（二）服务对象</w:t>
      </w:r>
    </w:p>
    <w:p w14:paraId="7952B981">
      <w:pPr>
        <w:spacing w:line="360" w:lineRule="auto"/>
        <w:ind w:firstLine="420"/>
        <w:rPr>
          <w:rFonts w:hint="default" w:ascii="仿宋" w:hAnsi="仿宋" w:eastAsia="仿宋" w:cs="仿宋"/>
          <w:color w:val="auto"/>
          <w:spacing w:val="-6"/>
          <w:sz w:val="24"/>
          <w:szCs w:val="24"/>
          <w:highlight w:val="none"/>
          <w:lang w:val="en-US" w:eastAsia="zh-CN"/>
        </w:rPr>
      </w:pPr>
      <w:r>
        <w:rPr>
          <w:rFonts w:hint="eastAsia" w:ascii="仿宋" w:hAnsi="仿宋" w:eastAsia="仿宋" w:cs="仿宋"/>
          <w:color w:val="auto"/>
          <w:spacing w:val="-3"/>
          <w:kern w:val="2"/>
          <w:sz w:val="24"/>
          <w:szCs w:val="24"/>
          <w:highlight w:val="none"/>
          <w:lang w:val="en-US" w:eastAsia="zh-CN" w:bidi="ar-SA"/>
        </w:rPr>
        <w:t>广州医科大学附属第三医院的困境孕产妇、早产儿困难家庭、生殖遗传不孕家庭及其家属、院内外志愿者。</w:t>
      </w:r>
    </w:p>
    <w:p w14:paraId="43F7DDA9">
      <w:pPr>
        <w:adjustRightInd w:val="0"/>
        <w:snapToGrid w:val="0"/>
        <w:spacing w:line="360" w:lineRule="auto"/>
        <w:ind w:firstLine="482" w:firstLineChars="200"/>
        <w:outlineLvl w:val="1"/>
        <w:rPr>
          <w:rFonts w:ascii="宋体" w:hAnsi="宋体" w:cs="宋体"/>
          <w:b/>
          <w:bCs/>
          <w:color w:val="auto"/>
          <w:sz w:val="24"/>
          <w:szCs w:val="24"/>
          <w:highlight w:val="none"/>
        </w:rPr>
      </w:pPr>
      <w:r>
        <w:rPr>
          <w:rFonts w:hint="eastAsia" w:ascii="宋体" w:hAnsi="宋体" w:cs="宋体"/>
          <w:b/>
          <w:bCs/>
          <w:color w:val="auto"/>
          <w:sz w:val="24"/>
          <w:szCs w:val="24"/>
          <w:highlight w:val="none"/>
        </w:rPr>
        <w:t>（三）服务范围</w:t>
      </w:r>
    </w:p>
    <w:p w14:paraId="6C50138C">
      <w:pPr>
        <w:spacing w:line="360" w:lineRule="auto"/>
        <w:ind w:firstLine="468" w:firstLineChars="200"/>
        <w:rPr>
          <w:rFonts w:hint="eastAsia" w:ascii="仿宋" w:hAnsi="仿宋" w:eastAsia="仿宋" w:cs="仿宋"/>
          <w:color w:val="auto"/>
          <w:spacing w:val="-6"/>
          <w:sz w:val="24"/>
          <w:szCs w:val="24"/>
          <w:highlight w:val="none"/>
        </w:rPr>
      </w:pPr>
      <w:r>
        <w:rPr>
          <w:rFonts w:hint="eastAsia" w:ascii="仿宋" w:hAnsi="仿宋" w:eastAsia="仿宋" w:cs="仿宋"/>
          <w:color w:val="auto"/>
          <w:spacing w:val="-3"/>
          <w:sz w:val="24"/>
          <w:szCs w:val="24"/>
          <w:highlight w:val="none"/>
        </w:rPr>
        <w:t>驻点广州医科大学附属第三医院，服务内容</w:t>
      </w:r>
      <w:r>
        <w:rPr>
          <w:rFonts w:hint="eastAsia" w:ascii="仿宋" w:hAnsi="仿宋" w:eastAsia="仿宋" w:cs="仿宋"/>
          <w:color w:val="auto"/>
          <w:spacing w:val="-6"/>
          <w:sz w:val="24"/>
          <w:szCs w:val="24"/>
          <w:highlight w:val="none"/>
        </w:rPr>
        <w:t>包括但不局限于</w:t>
      </w:r>
      <w:r>
        <w:rPr>
          <w:rFonts w:hint="eastAsia" w:ascii="仿宋" w:hAnsi="仿宋" w:eastAsia="仿宋" w:cs="仿宋"/>
          <w:color w:val="auto"/>
          <w:spacing w:val="-6"/>
          <w:sz w:val="24"/>
          <w:szCs w:val="24"/>
          <w:highlight w:val="none"/>
          <w:lang w:val="en-US" w:eastAsia="zh-CN"/>
        </w:rPr>
        <w:t>个案服务、活动开展、志愿服务管理</w:t>
      </w:r>
      <w:r>
        <w:rPr>
          <w:rFonts w:hint="eastAsia" w:ascii="仿宋" w:hAnsi="仿宋" w:eastAsia="仿宋" w:cs="仿宋"/>
          <w:color w:val="auto"/>
          <w:spacing w:val="-6"/>
          <w:sz w:val="24"/>
          <w:szCs w:val="24"/>
          <w:highlight w:val="none"/>
        </w:rPr>
        <w:t>等。</w:t>
      </w:r>
    </w:p>
    <w:p w14:paraId="798C9E14">
      <w:pPr>
        <w:keepNext w:val="0"/>
        <w:keepLines w:val="0"/>
        <w:pageBreakBefore w:val="0"/>
        <w:widowControl w:val="0"/>
        <w:numPr>
          <w:ilvl w:val="0"/>
          <w:numId w:val="0"/>
        </w:numPr>
        <w:kinsoku/>
        <w:wordWrap/>
        <w:overflowPunct/>
        <w:topLinePunct w:val="0"/>
        <w:bidi w:val="0"/>
        <w:adjustRightInd w:val="0"/>
        <w:snapToGrid w:val="0"/>
        <w:spacing w:line="360" w:lineRule="auto"/>
        <w:ind w:firstLine="482" w:firstLineChars="200"/>
        <w:textAlignment w:val="auto"/>
        <w:outlineLvl w:val="1"/>
        <w:rPr>
          <w:rFonts w:ascii="宋体" w:hAnsi="宋体" w:cs="宋体"/>
          <w:b/>
          <w:bCs/>
          <w:color w:val="auto"/>
          <w:sz w:val="24"/>
          <w:szCs w:val="24"/>
          <w:highlight w:val="none"/>
        </w:rPr>
      </w:pPr>
      <w:r>
        <w:rPr>
          <w:rFonts w:hint="eastAsia" w:ascii="宋体" w:hAnsi="宋体" w:cs="宋体"/>
          <w:b/>
          <w:bCs/>
          <w:color w:val="auto"/>
          <w:kern w:val="2"/>
          <w:sz w:val="24"/>
          <w:szCs w:val="24"/>
          <w:lang w:val="en-US" w:eastAsia="zh-CN" w:bidi="ar-SA"/>
        </w:rPr>
        <w:t>（四）</w:t>
      </w:r>
      <w:r>
        <w:rPr>
          <w:rFonts w:hint="eastAsia" w:ascii="宋体" w:hAnsi="宋体" w:eastAsia="宋体" w:cs="宋体"/>
          <w:b/>
          <w:bCs/>
          <w:color w:val="auto"/>
          <w:sz w:val="24"/>
          <w:szCs w:val="24"/>
          <w:highlight w:val="none"/>
        </w:rPr>
        <w:t>服务内容</w:t>
      </w:r>
      <w:r>
        <w:rPr>
          <w:rFonts w:hint="eastAsia" w:ascii="宋体" w:hAnsi="宋体" w:cs="宋体"/>
          <w:b/>
          <w:bCs/>
          <w:color w:val="auto"/>
          <w:sz w:val="24"/>
          <w:szCs w:val="24"/>
          <w:highlight w:val="none"/>
        </w:rPr>
        <w:br w:type="textWrapping"/>
      </w:r>
      <w:r>
        <w:rPr>
          <w:rFonts w:hint="eastAsia" w:ascii="宋体" w:hAnsi="宋体" w:cs="宋体"/>
          <w:b/>
          <w:bCs/>
          <w:color w:val="auto"/>
          <w:sz w:val="24"/>
          <w:szCs w:val="24"/>
          <w:highlight w:val="none"/>
          <w:lang w:val="en-US" w:eastAsia="zh-CN"/>
        </w:rPr>
        <w:t xml:space="preserve">    1.困境患者及家庭关爱支持</w:t>
      </w:r>
    </w:p>
    <w:p w14:paraId="10437D70">
      <w:pPr>
        <w:keepNext w:val="0"/>
        <w:keepLines w:val="0"/>
        <w:pageBreakBefore w:val="0"/>
        <w:widowControl w:val="0"/>
        <w:numPr>
          <w:ilvl w:val="0"/>
          <w:numId w:val="0"/>
        </w:numPr>
        <w:kinsoku/>
        <w:wordWrap/>
        <w:overflowPunct/>
        <w:topLinePunct w:val="0"/>
        <w:bidi w:val="0"/>
        <w:adjustRightInd w:val="0"/>
        <w:snapToGrid w:val="0"/>
        <w:spacing w:line="360" w:lineRule="auto"/>
        <w:ind w:firstLine="480" w:firstLineChars="200"/>
        <w:textAlignment w:val="auto"/>
        <w:outlineLvl w:val="1"/>
        <w:rPr>
          <w:rFonts w:hint="default" w:ascii="宋体" w:hAnsi="宋体" w:cs="宋体"/>
          <w:b/>
          <w:bCs/>
          <w:color w:val="auto"/>
          <w:sz w:val="24"/>
          <w:szCs w:val="24"/>
          <w:highlight w:val="none"/>
          <w:lang w:val="en-US"/>
        </w:rPr>
      </w:pPr>
      <w:r>
        <w:rPr>
          <w:rFonts w:hint="eastAsia" w:ascii="仿宋" w:hAnsi="仿宋" w:eastAsia="仿宋" w:cs="仿宋"/>
          <w:bCs/>
          <w:color w:val="auto"/>
          <w:kern w:val="0"/>
          <w:sz w:val="24"/>
          <w:lang w:eastAsia="zh-CN"/>
        </w:rPr>
        <w:t>为院内困境孕产妇家庭、早产儿家庭</w:t>
      </w:r>
      <w:r>
        <w:rPr>
          <w:rFonts w:hint="eastAsia" w:ascii="仿宋" w:hAnsi="仿宋" w:eastAsia="仿宋" w:cs="仿宋"/>
          <w:bCs/>
          <w:color w:val="auto"/>
          <w:kern w:val="0"/>
          <w:sz w:val="24"/>
          <w:lang w:val="en-US" w:eastAsia="zh-CN"/>
        </w:rPr>
        <w:t>或患有生殖遗传疾病家庭</w:t>
      </w:r>
      <w:r>
        <w:rPr>
          <w:rFonts w:hint="eastAsia" w:ascii="仿宋" w:hAnsi="仿宋" w:eastAsia="仿宋" w:cs="仿宋"/>
          <w:bCs/>
          <w:color w:val="auto"/>
          <w:kern w:val="0"/>
          <w:sz w:val="24"/>
          <w:lang w:eastAsia="zh-CN"/>
        </w:rPr>
        <w:t>提供全人关怀服务，通过专业化个案管理，识别重点人群需要，提供情绪疏导、政策宣讲、健康宣教、经济资源链接、哀伤辅导、出院后适应支持等一站式服务。通过“医护+社工+志愿者”三方力量，帮助营造温暖互助的氛围，协助她们正确面对心理压力，更好地调节情绪，减少孤独与病耻感。</w:t>
      </w:r>
    </w:p>
    <w:p w14:paraId="460F6119">
      <w:pPr>
        <w:keepNext w:val="0"/>
        <w:keepLines w:val="0"/>
        <w:pageBreakBefore w:val="0"/>
        <w:widowControl w:val="0"/>
        <w:numPr>
          <w:ilvl w:val="0"/>
          <w:numId w:val="0"/>
        </w:numPr>
        <w:kinsoku/>
        <w:wordWrap/>
        <w:overflowPunct/>
        <w:topLinePunct w:val="0"/>
        <w:autoSpaceDE w:val="0"/>
        <w:autoSpaceDN w:val="0"/>
        <w:bidi w:val="0"/>
        <w:adjustRightInd w:val="0"/>
        <w:spacing w:line="360" w:lineRule="auto"/>
        <w:ind w:firstLine="482" w:firstLineChars="200"/>
        <w:textAlignment w:val="auto"/>
        <w:rPr>
          <w:rFonts w:hint="default" w:ascii="宋体" w:hAnsi="宋体" w:cs="宋体"/>
          <w:b/>
          <w:color w:val="auto"/>
          <w:sz w:val="24"/>
          <w:szCs w:val="24"/>
          <w:highlight w:val="none"/>
          <w:lang w:val="en-US" w:eastAsia="zh-CN"/>
        </w:rPr>
      </w:pPr>
      <w:r>
        <w:rPr>
          <w:rFonts w:hint="eastAsia" w:ascii="宋体" w:hAnsi="宋体" w:cs="宋体"/>
          <w:b/>
          <w:color w:val="auto"/>
          <w:kern w:val="2"/>
          <w:sz w:val="24"/>
          <w:szCs w:val="24"/>
          <w:highlight w:val="none"/>
          <w:lang w:val="en-US" w:eastAsia="zh-CN" w:bidi="ar-SA"/>
        </w:rPr>
        <w:t>2.志愿服务发展与管理</w:t>
      </w:r>
    </w:p>
    <w:p w14:paraId="3C781CB8">
      <w:pPr>
        <w:keepNext w:val="0"/>
        <w:keepLines w:val="0"/>
        <w:pageBreakBefore w:val="0"/>
        <w:widowControl w:val="0"/>
        <w:numPr>
          <w:ilvl w:val="0"/>
          <w:numId w:val="0"/>
        </w:numPr>
        <w:kinsoku/>
        <w:wordWrap/>
        <w:overflowPunct/>
        <w:topLinePunct w:val="0"/>
        <w:autoSpaceDE w:val="0"/>
        <w:autoSpaceDN w:val="0"/>
        <w:bidi w:val="0"/>
        <w:adjustRightInd w:val="0"/>
        <w:spacing w:line="360" w:lineRule="auto"/>
        <w:ind w:firstLine="480" w:firstLineChars="200"/>
        <w:textAlignment w:val="auto"/>
        <w:rPr>
          <w:rFonts w:hint="eastAsia" w:ascii="仿宋" w:hAnsi="仿宋" w:eastAsia="仿宋" w:cs="仿宋"/>
          <w:bCs/>
          <w:color w:val="auto"/>
          <w:kern w:val="0"/>
          <w:sz w:val="24"/>
        </w:rPr>
      </w:pPr>
      <w:r>
        <w:rPr>
          <w:rFonts w:hint="eastAsia" w:ascii="仿宋" w:hAnsi="仿宋" w:eastAsia="仿宋" w:cs="仿宋"/>
          <w:bCs/>
          <w:color w:val="auto"/>
          <w:kern w:val="0"/>
          <w:sz w:val="24"/>
        </w:rPr>
        <w:t>医务社工联动院内</w:t>
      </w:r>
      <w:r>
        <w:rPr>
          <w:rFonts w:hint="eastAsia" w:ascii="仿宋" w:hAnsi="仿宋" w:eastAsia="仿宋" w:cs="仿宋"/>
          <w:bCs/>
          <w:color w:val="auto"/>
          <w:kern w:val="0"/>
          <w:sz w:val="24"/>
          <w:lang w:val="en-US" w:eastAsia="zh-CN"/>
        </w:rPr>
        <w:t>外</w:t>
      </w:r>
      <w:r>
        <w:rPr>
          <w:rFonts w:hint="eastAsia" w:ascii="仿宋" w:hAnsi="仿宋" w:eastAsia="仿宋" w:cs="仿宋"/>
          <w:bCs/>
          <w:color w:val="auto"/>
          <w:kern w:val="0"/>
          <w:sz w:val="24"/>
        </w:rPr>
        <w:t>志愿服务，整合多元社会志愿力量参与院内志愿服务，统筹推进</w:t>
      </w:r>
      <w:r>
        <w:rPr>
          <w:rFonts w:hint="eastAsia" w:ascii="仿宋" w:hAnsi="仿宋" w:eastAsia="仿宋" w:cs="仿宋"/>
          <w:bCs/>
          <w:color w:val="auto"/>
          <w:kern w:val="0"/>
          <w:sz w:val="24"/>
          <w:lang w:val="en-US" w:eastAsia="zh-CN"/>
        </w:rPr>
        <w:t>双院区</w:t>
      </w:r>
      <w:r>
        <w:rPr>
          <w:rFonts w:hint="eastAsia" w:ascii="仿宋" w:hAnsi="仿宋" w:eastAsia="仿宋" w:cs="仿宋"/>
          <w:bCs/>
          <w:color w:val="auto"/>
          <w:kern w:val="0"/>
          <w:sz w:val="24"/>
        </w:rPr>
        <w:t>志愿资源招募与发展管理，</w:t>
      </w:r>
      <w:r>
        <w:rPr>
          <w:rFonts w:hint="eastAsia" w:ascii="仿宋" w:hAnsi="仿宋" w:eastAsia="仿宋" w:cs="仿宋"/>
          <w:bCs/>
          <w:color w:val="auto"/>
          <w:kern w:val="0"/>
          <w:sz w:val="24"/>
          <w:lang w:val="en-US" w:eastAsia="zh-CN"/>
        </w:rPr>
        <w:t>开展患者关爱、职工关爱、子女关爱等多元志愿服务</w:t>
      </w:r>
      <w:r>
        <w:rPr>
          <w:rFonts w:hint="eastAsia" w:ascii="仿宋" w:hAnsi="仿宋" w:eastAsia="仿宋" w:cs="仿宋"/>
          <w:bCs/>
          <w:color w:val="auto"/>
          <w:kern w:val="0"/>
          <w:sz w:val="24"/>
        </w:rPr>
        <w:t>；落实志愿服务管理及激励制度，推动院内志愿服务常态化、规范化、品牌化运作，做好志愿者招募、培训、排班、激励、档案全流程管理。</w:t>
      </w:r>
    </w:p>
    <w:p w14:paraId="1CDC9348">
      <w:pPr>
        <w:keepNext w:val="0"/>
        <w:keepLines w:val="0"/>
        <w:pageBreakBefore w:val="0"/>
        <w:widowControl w:val="0"/>
        <w:numPr>
          <w:ilvl w:val="0"/>
          <w:numId w:val="0"/>
        </w:numPr>
        <w:kinsoku/>
        <w:wordWrap/>
        <w:overflowPunct/>
        <w:topLinePunct w:val="0"/>
        <w:autoSpaceDE w:val="0"/>
        <w:autoSpaceDN w:val="0"/>
        <w:bidi w:val="0"/>
        <w:adjustRightInd w:val="0"/>
        <w:spacing w:line="360" w:lineRule="auto"/>
        <w:ind w:firstLine="480" w:firstLineChars="200"/>
        <w:textAlignment w:val="auto"/>
        <w:rPr>
          <w:rFonts w:hint="default" w:ascii="仿宋" w:hAnsi="仿宋" w:eastAsia="仿宋" w:cs="仿宋"/>
          <w:b/>
          <w:bCs w:val="0"/>
          <w:color w:val="auto"/>
          <w:kern w:val="0"/>
          <w:sz w:val="24"/>
          <w:lang w:val="en-US" w:eastAsia="zh-CN"/>
        </w:rPr>
      </w:pPr>
      <w:r>
        <w:rPr>
          <w:rFonts w:hint="eastAsia" w:ascii="仿宋" w:hAnsi="仿宋" w:eastAsia="仿宋" w:cs="仿宋"/>
          <w:bCs/>
          <w:color w:val="auto"/>
          <w:kern w:val="0"/>
          <w:sz w:val="24"/>
        </w:rPr>
        <w:t>梳理本院医务社工视角下的志愿服务实践经验</w:t>
      </w:r>
      <w:r>
        <w:rPr>
          <w:rFonts w:hint="eastAsia" w:ascii="仿宋" w:hAnsi="仿宋" w:eastAsia="仿宋" w:cs="仿宋"/>
          <w:bCs/>
          <w:color w:val="auto"/>
          <w:kern w:val="0"/>
          <w:sz w:val="24"/>
          <w:lang w:val="en-US" w:eastAsia="zh-CN"/>
        </w:rPr>
        <w:t>，</w:t>
      </w:r>
      <w:r>
        <w:rPr>
          <w:rFonts w:hint="eastAsia" w:ascii="仿宋" w:hAnsi="仿宋" w:eastAsia="仿宋" w:cs="仿宋"/>
          <w:bCs/>
          <w:color w:val="auto"/>
          <w:kern w:val="0"/>
          <w:sz w:val="24"/>
        </w:rPr>
        <w:t>形成可复用经验，为医院持续优化志愿者管理制度、志愿项目设计提供专业参考。</w:t>
      </w:r>
      <w:r>
        <w:rPr>
          <w:rFonts w:hint="eastAsia" w:ascii="仿宋" w:hAnsi="仿宋" w:eastAsia="仿宋" w:cs="仿宋"/>
          <w:bCs/>
          <w:color w:val="auto"/>
          <w:kern w:val="0"/>
          <w:sz w:val="24"/>
        </w:rPr>
        <w:br w:type="textWrapping"/>
      </w:r>
      <w:r>
        <w:rPr>
          <w:rFonts w:hint="eastAsia" w:ascii="仿宋" w:hAnsi="仿宋" w:eastAsia="仿宋" w:cs="仿宋"/>
          <w:bCs/>
          <w:color w:val="auto"/>
          <w:kern w:val="0"/>
          <w:sz w:val="24"/>
          <w:lang w:val="en-US" w:eastAsia="zh-CN"/>
        </w:rPr>
        <w:t xml:space="preserve">   </w:t>
      </w:r>
      <w:r>
        <w:rPr>
          <w:rFonts w:hint="eastAsia" w:ascii="仿宋" w:hAnsi="仿宋" w:eastAsia="仿宋" w:cs="仿宋"/>
          <w:b/>
          <w:bCs w:val="0"/>
          <w:color w:val="auto"/>
          <w:kern w:val="0"/>
          <w:sz w:val="24"/>
          <w:lang w:val="en-US" w:eastAsia="zh-CN"/>
        </w:rPr>
        <w:t>3.</w:t>
      </w:r>
      <w:r>
        <w:rPr>
          <w:rFonts w:hint="eastAsia" w:ascii="宋体" w:hAnsi="宋体" w:eastAsia="宋体" w:cs="宋体"/>
          <w:b/>
          <w:color w:val="auto"/>
          <w:sz w:val="24"/>
          <w:szCs w:val="24"/>
          <w:highlight w:val="none"/>
          <w:lang w:val="en-US" w:eastAsia="zh-CN"/>
        </w:rPr>
        <w:t>医学人文关怀与倡导</w:t>
      </w:r>
    </w:p>
    <w:p w14:paraId="21409A50">
      <w:pPr>
        <w:keepNext w:val="0"/>
        <w:keepLines w:val="0"/>
        <w:pageBreakBefore w:val="0"/>
        <w:widowControl w:val="0"/>
        <w:numPr>
          <w:ilvl w:val="0"/>
          <w:numId w:val="0"/>
        </w:numPr>
        <w:kinsoku/>
        <w:wordWrap/>
        <w:overflowPunct/>
        <w:topLinePunct w:val="0"/>
        <w:autoSpaceDE w:val="0"/>
        <w:autoSpaceDN w:val="0"/>
        <w:bidi w:val="0"/>
        <w:adjustRightInd w:val="0"/>
        <w:spacing w:line="360" w:lineRule="auto"/>
        <w:ind w:firstLine="480" w:firstLineChars="200"/>
        <w:textAlignment w:val="auto"/>
        <w:rPr>
          <w:rFonts w:hint="default" w:ascii="仿宋" w:hAnsi="仿宋" w:eastAsia="宋体" w:cs="仿宋"/>
          <w:bCs/>
          <w:color w:val="auto"/>
          <w:kern w:val="0"/>
          <w:sz w:val="24"/>
          <w:lang w:val="en-US" w:eastAsia="zh-CN"/>
        </w:rPr>
      </w:pPr>
      <w:r>
        <w:rPr>
          <w:rFonts w:hint="eastAsia" w:ascii="仿宋" w:hAnsi="仿宋" w:eastAsia="仿宋" w:cs="仿宋"/>
          <w:bCs/>
          <w:color w:val="auto"/>
          <w:kern w:val="0"/>
          <w:sz w:val="24"/>
          <w:lang w:val="en-US" w:eastAsia="zh-CN"/>
        </w:rPr>
        <w:t>结合服务对象特点和需求，紧扣医院服务发展方向，医务社工总结服务经验，撰写医学人文案例故事，积极参与各级案例评选和对外宣传投稿，不断丰富医院妇儿人文服务成果；协助“柔济青年”公众号运营；积极参与医院开展护士节、医师节、医二代志愿服务等医学人文关怀服务。</w:t>
      </w:r>
    </w:p>
    <w:p w14:paraId="198F1F82">
      <w:pPr>
        <w:keepNext w:val="0"/>
        <w:keepLines w:val="0"/>
        <w:pageBreakBefore w:val="0"/>
        <w:widowControl w:val="0"/>
        <w:numPr>
          <w:ilvl w:val="0"/>
          <w:numId w:val="0"/>
        </w:numPr>
        <w:kinsoku/>
        <w:wordWrap/>
        <w:overflowPunct/>
        <w:topLinePunct w:val="0"/>
        <w:autoSpaceDE w:val="0"/>
        <w:autoSpaceDN w:val="0"/>
        <w:bidi w:val="0"/>
        <w:adjustRightInd w:val="0"/>
        <w:spacing w:line="360" w:lineRule="auto"/>
        <w:ind w:firstLine="482" w:firstLineChars="200"/>
        <w:textAlignment w:val="auto"/>
        <w:rPr>
          <w:rFonts w:hint="eastAsia" w:ascii="仿宋" w:hAnsi="仿宋" w:eastAsia="仿宋" w:cs="仿宋"/>
          <w:bCs/>
          <w:color w:val="auto"/>
          <w:kern w:val="0"/>
          <w:sz w:val="24"/>
          <w:lang w:val="en-US" w:eastAsia="zh-CN"/>
        </w:rPr>
      </w:pPr>
      <w:r>
        <w:rPr>
          <w:rFonts w:hint="eastAsia" w:ascii="宋体" w:hAnsi="宋体" w:eastAsia="宋体" w:cs="宋体"/>
          <w:b/>
          <w:color w:val="auto"/>
          <w:sz w:val="24"/>
          <w:szCs w:val="24"/>
          <w:highlight w:val="none"/>
          <w:lang w:val="en-US" w:eastAsia="zh-CN"/>
        </w:rPr>
        <w:t>4.社会资源链接与支持</w:t>
      </w:r>
    </w:p>
    <w:p w14:paraId="0038C1EB">
      <w:pPr>
        <w:keepNext w:val="0"/>
        <w:keepLines w:val="0"/>
        <w:pageBreakBefore w:val="0"/>
        <w:widowControl w:val="0"/>
        <w:numPr>
          <w:ilvl w:val="0"/>
          <w:numId w:val="0"/>
        </w:numPr>
        <w:kinsoku/>
        <w:wordWrap/>
        <w:overflowPunct/>
        <w:topLinePunct w:val="0"/>
        <w:autoSpaceDE w:val="0"/>
        <w:autoSpaceDN w:val="0"/>
        <w:bidi w:val="0"/>
        <w:adjustRightInd w:val="0"/>
        <w:spacing w:line="360" w:lineRule="auto"/>
        <w:ind w:firstLine="480" w:firstLineChars="200"/>
        <w:textAlignment w:val="auto"/>
        <w:rPr>
          <w:rFonts w:hint="default" w:ascii="仿宋" w:hAnsi="仿宋" w:eastAsia="仿宋" w:cs="仿宋"/>
          <w:bCs/>
          <w:color w:val="auto"/>
          <w:kern w:val="0"/>
          <w:sz w:val="24"/>
          <w:lang w:val="en-US" w:eastAsia="zh-CN"/>
        </w:rPr>
      </w:pPr>
      <w:r>
        <w:rPr>
          <w:rFonts w:hint="eastAsia" w:ascii="仿宋" w:hAnsi="仿宋" w:eastAsia="仿宋" w:cs="仿宋"/>
          <w:bCs/>
          <w:color w:val="auto"/>
          <w:kern w:val="0"/>
          <w:sz w:val="24"/>
          <w:lang w:val="en-US" w:eastAsia="zh-CN"/>
        </w:rPr>
        <w:t>积极挖掘、联动基金会、企业、慈善会、社会组织等各类社会力量，医务社工充分发挥社会资源补充支撑作用，一方面，将公益资源优先用于院内困境孕产妇、早产儿等重点患者家庭帮扶；另一方面，同时持续丰富医院公益资源储备，为医院人文服务以及各类公益服务的拓展提供帮助。</w:t>
      </w:r>
    </w:p>
    <w:p w14:paraId="69C3F28C">
      <w:pPr>
        <w:keepNext w:val="0"/>
        <w:keepLines w:val="0"/>
        <w:pageBreakBefore w:val="0"/>
        <w:widowControl w:val="0"/>
        <w:numPr>
          <w:ilvl w:val="0"/>
          <w:numId w:val="0"/>
        </w:numPr>
        <w:kinsoku/>
        <w:wordWrap/>
        <w:overflowPunct/>
        <w:topLinePunct w:val="0"/>
        <w:autoSpaceDE w:val="0"/>
        <w:autoSpaceDN w:val="0"/>
        <w:bidi w:val="0"/>
        <w:adjustRightInd w:val="0"/>
        <w:spacing w:line="360" w:lineRule="auto"/>
        <w:ind w:firstLine="482" w:firstLineChars="200"/>
        <w:textAlignment w:val="auto"/>
        <w:rPr>
          <w:rFonts w:ascii="宋体" w:hAnsi="宋体" w:cs="宋体"/>
          <w:b/>
          <w:bCs/>
          <w:color w:val="auto"/>
          <w:sz w:val="24"/>
          <w:szCs w:val="24"/>
          <w:highlight w:val="none"/>
        </w:rPr>
      </w:pPr>
      <w:r>
        <w:rPr>
          <w:rFonts w:hint="eastAsia" w:ascii="宋体" w:hAnsi="宋体" w:cs="宋体"/>
          <w:b/>
          <w:bCs/>
          <w:color w:val="auto"/>
          <w:sz w:val="24"/>
          <w:szCs w:val="24"/>
          <w:highlight w:val="none"/>
        </w:rPr>
        <w:t>（五）人力资源配置</w:t>
      </w:r>
    </w:p>
    <w:p w14:paraId="2D403EAB">
      <w:pPr>
        <w:spacing w:line="360" w:lineRule="auto"/>
        <w:ind w:firstLine="421"/>
        <w:rPr>
          <w:rFonts w:hint="eastAsia" w:ascii="仿宋" w:hAnsi="仿宋" w:eastAsia="仿宋" w:cs="仿宋"/>
          <w:color w:val="auto"/>
          <w:spacing w:val="-6"/>
          <w:sz w:val="24"/>
          <w:szCs w:val="24"/>
          <w:highlight w:val="none"/>
        </w:rPr>
      </w:pPr>
      <w:r>
        <w:rPr>
          <w:rFonts w:hint="eastAsia" w:ascii="仿宋" w:hAnsi="仿宋" w:eastAsia="仿宋" w:cs="仿宋"/>
          <w:color w:val="auto"/>
          <w:spacing w:val="-6"/>
          <w:sz w:val="24"/>
          <w:szCs w:val="24"/>
          <w:highlight w:val="none"/>
        </w:rPr>
        <w:t>项目需配备全职人员</w:t>
      </w:r>
      <w:r>
        <w:rPr>
          <w:rFonts w:hint="eastAsia" w:ascii="仿宋" w:hAnsi="仿宋" w:eastAsia="仿宋" w:cs="仿宋"/>
          <w:color w:val="auto"/>
          <w:spacing w:val="-6"/>
          <w:sz w:val="24"/>
          <w:szCs w:val="24"/>
          <w:highlight w:val="none"/>
          <w:lang w:val="en-US" w:eastAsia="zh-CN"/>
        </w:rPr>
        <w:t>1</w:t>
      </w:r>
      <w:r>
        <w:rPr>
          <w:rFonts w:hint="eastAsia" w:ascii="仿宋" w:hAnsi="仿宋" w:eastAsia="仿宋" w:cs="仿宋"/>
          <w:color w:val="auto"/>
          <w:spacing w:val="-6"/>
          <w:sz w:val="24"/>
          <w:szCs w:val="24"/>
          <w:highlight w:val="none"/>
        </w:rPr>
        <w:t>名</w:t>
      </w:r>
      <w:r>
        <w:rPr>
          <w:rFonts w:hint="eastAsia" w:ascii="仿宋" w:hAnsi="仿宋" w:eastAsia="仿宋" w:cs="仿宋"/>
          <w:color w:val="auto"/>
          <w:spacing w:val="-6"/>
          <w:sz w:val="24"/>
          <w:szCs w:val="24"/>
          <w:highlight w:val="none"/>
          <w:lang w:eastAsia="zh-CN"/>
        </w:rPr>
        <w:t>，</w:t>
      </w:r>
      <w:r>
        <w:rPr>
          <w:rFonts w:hint="eastAsia" w:ascii="仿宋" w:hAnsi="仿宋" w:eastAsia="仿宋" w:cs="仿宋"/>
          <w:color w:val="auto"/>
          <w:spacing w:val="-6"/>
          <w:sz w:val="24"/>
          <w:szCs w:val="24"/>
          <w:highlight w:val="none"/>
          <w:lang w:val="en-US" w:eastAsia="zh-CN"/>
        </w:rPr>
        <w:t>实习生1名</w:t>
      </w:r>
      <w:r>
        <w:rPr>
          <w:rFonts w:hint="eastAsia" w:ascii="仿宋" w:hAnsi="仿宋" w:eastAsia="仿宋" w:cs="仿宋"/>
          <w:color w:val="auto"/>
          <w:spacing w:val="-6"/>
          <w:sz w:val="24"/>
          <w:szCs w:val="24"/>
          <w:highlight w:val="none"/>
        </w:rPr>
        <w:t>，同时本项目需配备一名兼职督导。</w:t>
      </w:r>
    </w:p>
    <w:p w14:paraId="078CF2EE">
      <w:pPr>
        <w:spacing w:line="360" w:lineRule="auto"/>
        <w:ind w:firstLine="316" w:firstLineChars="150"/>
        <w:outlineLvl w:val="2"/>
        <w:rPr>
          <w:rFonts w:ascii="宋体" w:hAnsi="宋体" w:cs="宋体"/>
          <w:b/>
          <w:color w:val="auto"/>
          <w:szCs w:val="21"/>
          <w:highlight w:val="none"/>
        </w:rPr>
      </w:pPr>
      <w:r>
        <w:rPr>
          <w:rFonts w:hint="eastAsia" w:ascii="宋体" w:hAnsi="宋体" w:cs="宋体"/>
          <w:b/>
          <w:color w:val="auto"/>
          <w:szCs w:val="21"/>
          <w:highlight w:val="none"/>
        </w:rPr>
        <w:t>其中，各岗位的具体配置要求如下：</w:t>
      </w:r>
    </w:p>
    <w:p w14:paraId="112E01AF">
      <w:pPr>
        <w:spacing w:line="360" w:lineRule="auto"/>
        <w:ind w:firstLine="316" w:firstLineChars="150"/>
        <w:outlineLvl w:val="2"/>
        <w:rPr>
          <w:rFonts w:ascii="宋体" w:hAnsi="宋体" w:cs="宋体"/>
          <w:b/>
          <w:color w:val="auto"/>
          <w:szCs w:val="21"/>
          <w:highlight w:val="none"/>
        </w:rPr>
      </w:pPr>
      <w:r>
        <w:rPr>
          <w:rFonts w:hint="eastAsia" w:ascii="宋体" w:hAnsi="宋体" w:cs="宋体"/>
          <w:b/>
          <w:color w:val="auto"/>
          <w:szCs w:val="21"/>
          <w:highlight w:val="none"/>
        </w:rPr>
        <w:t>1.全职人员</w:t>
      </w:r>
    </w:p>
    <w:tbl>
      <w:tblPr>
        <w:tblStyle w:val="17"/>
        <w:tblW w:w="820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82"/>
        <w:gridCol w:w="1281"/>
        <w:gridCol w:w="5446"/>
      </w:tblGrid>
      <w:tr w14:paraId="23413C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482" w:type="dxa"/>
            <w:noWrap w:val="0"/>
            <w:vAlign w:val="top"/>
          </w:tcPr>
          <w:p w14:paraId="1CABD205">
            <w:pPr>
              <w:rPr>
                <w:rFonts w:hint="eastAsia" w:ascii="仿宋" w:hAnsi="仿宋" w:eastAsia="仿宋" w:cs="仿宋"/>
                <w:color w:val="auto"/>
                <w:szCs w:val="21"/>
                <w:highlight w:val="none"/>
              </w:rPr>
            </w:pPr>
            <w:r>
              <w:rPr>
                <w:rFonts w:hint="eastAsia" w:ascii="仿宋" w:hAnsi="仿宋" w:eastAsia="仿宋" w:cs="仿宋"/>
                <w:color w:val="auto"/>
                <w:szCs w:val="21"/>
                <w:highlight w:val="none"/>
              </w:rPr>
              <w:t>岗位名称</w:t>
            </w:r>
          </w:p>
        </w:tc>
        <w:tc>
          <w:tcPr>
            <w:tcW w:w="1281" w:type="dxa"/>
            <w:noWrap w:val="0"/>
            <w:vAlign w:val="top"/>
          </w:tcPr>
          <w:p w14:paraId="155B81EF">
            <w:pPr>
              <w:rPr>
                <w:rFonts w:hint="eastAsia" w:ascii="仿宋" w:hAnsi="仿宋" w:eastAsia="仿宋" w:cs="仿宋"/>
                <w:color w:val="auto"/>
                <w:szCs w:val="21"/>
                <w:highlight w:val="none"/>
              </w:rPr>
            </w:pPr>
            <w:r>
              <w:rPr>
                <w:rFonts w:hint="eastAsia" w:ascii="仿宋" w:hAnsi="仿宋" w:eastAsia="仿宋" w:cs="仿宋"/>
                <w:color w:val="auto"/>
                <w:szCs w:val="21"/>
                <w:highlight w:val="none"/>
              </w:rPr>
              <w:t>数量</w:t>
            </w:r>
          </w:p>
        </w:tc>
        <w:tc>
          <w:tcPr>
            <w:tcW w:w="5446" w:type="dxa"/>
            <w:noWrap w:val="0"/>
            <w:vAlign w:val="top"/>
          </w:tcPr>
          <w:p w14:paraId="0C2D68E5">
            <w:pPr>
              <w:ind w:firstLine="420" w:firstLineChars="200"/>
              <w:rPr>
                <w:rFonts w:hint="eastAsia" w:ascii="仿宋" w:hAnsi="仿宋" w:eastAsia="仿宋" w:cs="仿宋"/>
                <w:color w:val="auto"/>
                <w:szCs w:val="21"/>
                <w:highlight w:val="none"/>
              </w:rPr>
            </w:pPr>
            <w:r>
              <w:rPr>
                <w:rFonts w:hint="eastAsia" w:ascii="仿宋" w:hAnsi="仿宋" w:eastAsia="仿宋" w:cs="仿宋"/>
                <w:color w:val="auto"/>
                <w:szCs w:val="21"/>
                <w:highlight w:val="none"/>
              </w:rPr>
              <w:t>岗位要求</w:t>
            </w:r>
          </w:p>
        </w:tc>
      </w:tr>
      <w:tr w14:paraId="244B99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82" w:type="dxa"/>
            <w:noWrap w:val="0"/>
            <w:vAlign w:val="center"/>
          </w:tcPr>
          <w:p w14:paraId="2D361CB8">
            <w:pPr>
              <w:rPr>
                <w:rFonts w:hint="eastAsia" w:ascii="仿宋" w:hAnsi="仿宋" w:eastAsia="仿宋" w:cs="仿宋"/>
                <w:color w:val="auto"/>
                <w:szCs w:val="21"/>
                <w:highlight w:val="none"/>
              </w:rPr>
            </w:pPr>
            <w:r>
              <w:rPr>
                <w:rFonts w:hint="eastAsia" w:ascii="仿宋" w:hAnsi="仿宋" w:eastAsia="仿宋" w:cs="仿宋"/>
                <w:color w:val="auto"/>
                <w:szCs w:val="21"/>
                <w:highlight w:val="none"/>
              </w:rPr>
              <w:t>项目社工</w:t>
            </w:r>
          </w:p>
        </w:tc>
        <w:tc>
          <w:tcPr>
            <w:tcW w:w="1281" w:type="dxa"/>
            <w:noWrap w:val="0"/>
            <w:vAlign w:val="center"/>
          </w:tcPr>
          <w:p w14:paraId="526F679F">
            <w:pPr>
              <w:rPr>
                <w:rFonts w:hint="eastAsia" w:ascii="仿宋" w:hAnsi="仿宋" w:eastAsia="仿宋" w:cs="仿宋"/>
                <w:color w:val="auto"/>
                <w:szCs w:val="21"/>
                <w:highlight w:val="none"/>
              </w:rPr>
            </w:pPr>
            <w:r>
              <w:rPr>
                <w:rFonts w:hint="eastAsia" w:ascii="仿宋" w:hAnsi="仿宋" w:eastAsia="仿宋" w:cs="仿宋"/>
                <w:color w:val="auto"/>
                <w:szCs w:val="21"/>
                <w:highlight w:val="none"/>
              </w:rPr>
              <w:t>1名</w:t>
            </w:r>
          </w:p>
        </w:tc>
        <w:tc>
          <w:tcPr>
            <w:tcW w:w="5446" w:type="dxa"/>
            <w:noWrap w:val="0"/>
            <w:vAlign w:val="top"/>
          </w:tcPr>
          <w:p w14:paraId="6472F61C">
            <w:pPr>
              <w:rPr>
                <w:rFonts w:hint="eastAsia" w:ascii="仿宋" w:hAnsi="仿宋" w:eastAsia="仿宋" w:cs="仿宋"/>
                <w:color w:val="auto"/>
                <w:szCs w:val="21"/>
                <w:highlight w:val="none"/>
              </w:rPr>
            </w:pPr>
            <w:r>
              <w:rPr>
                <w:rFonts w:hint="eastAsia" w:ascii="仿宋" w:hAnsi="仿宋" w:eastAsia="仿宋" w:cs="仿宋"/>
                <w:color w:val="auto"/>
                <w:szCs w:val="21"/>
                <w:highlight w:val="none"/>
              </w:rPr>
              <w:t>必须符合以下条件之一：</w:t>
            </w:r>
          </w:p>
          <w:p w14:paraId="2591F500">
            <w:pPr>
              <w:rPr>
                <w:rFonts w:hint="eastAsia" w:ascii="仿宋" w:hAnsi="仿宋" w:eastAsia="仿宋" w:cs="仿宋"/>
                <w:color w:val="auto"/>
                <w:szCs w:val="21"/>
                <w:highlight w:val="none"/>
              </w:rPr>
            </w:pPr>
            <w:r>
              <w:rPr>
                <w:rFonts w:hint="eastAsia" w:ascii="仿宋" w:hAnsi="仿宋" w:eastAsia="仿宋" w:cs="仿宋"/>
                <w:color w:val="auto"/>
                <w:szCs w:val="21"/>
                <w:highlight w:val="none"/>
              </w:rPr>
              <w:t>（1）社会工作或相关专业人员，并具有大专及以上学历；</w:t>
            </w:r>
          </w:p>
          <w:p w14:paraId="55376DAE">
            <w:pPr>
              <w:rPr>
                <w:rFonts w:hint="eastAsia" w:ascii="仿宋" w:hAnsi="仿宋" w:eastAsia="仿宋" w:cs="仿宋"/>
                <w:color w:val="auto"/>
                <w:szCs w:val="21"/>
                <w:highlight w:val="none"/>
              </w:rPr>
            </w:pPr>
            <w:r>
              <w:rPr>
                <w:rFonts w:hint="eastAsia" w:ascii="仿宋" w:hAnsi="仿宋" w:eastAsia="仿宋" w:cs="仿宋"/>
                <w:color w:val="auto"/>
                <w:szCs w:val="21"/>
                <w:highlight w:val="none"/>
              </w:rPr>
              <w:t>（2）具有大专及以上学历，至少</w:t>
            </w:r>
            <w:r>
              <w:rPr>
                <w:rFonts w:hint="eastAsia" w:ascii="仿宋" w:hAnsi="仿宋" w:eastAsia="仿宋" w:cs="仿宋"/>
                <w:color w:val="auto"/>
                <w:szCs w:val="21"/>
                <w:highlight w:val="none"/>
                <w:lang w:val="en-US" w:eastAsia="zh-CN"/>
              </w:rPr>
              <w:t>2</w:t>
            </w:r>
            <w:r>
              <w:rPr>
                <w:rFonts w:hint="eastAsia" w:ascii="仿宋" w:hAnsi="仿宋" w:eastAsia="仿宋" w:cs="仿宋"/>
                <w:color w:val="auto"/>
                <w:szCs w:val="21"/>
                <w:highlight w:val="none"/>
              </w:rPr>
              <w:t>年社会服务或医务社会工作相关服务经验。</w:t>
            </w:r>
          </w:p>
          <w:p w14:paraId="5C580289">
            <w:pPr>
              <w:rPr>
                <w:rFonts w:hint="default" w:ascii="仿宋" w:hAnsi="仿宋" w:eastAsia="仿宋" w:cs="仿宋"/>
                <w:color w:val="auto"/>
                <w:szCs w:val="21"/>
                <w:highlight w:val="none"/>
                <w:lang w:val="en-US" w:eastAsia="zh-CN"/>
              </w:rPr>
            </w:pPr>
            <w:r>
              <w:rPr>
                <w:rFonts w:hint="eastAsia" w:ascii="仿宋" w:hAnsi="仿宋" w:eastAsia="仿宋" w:cs="仿宋"/>
                <w:color w:val="auto"/>
                <w:szCs w:val="21"/>
                <w:highlight w:val="none"/>
                <w:lang w:eastAsia="zh-CN"/>
              </w:rPr>
              <w:t>（</w:t>
            </w:r>
            <w:r>
              <w:rPr>
                <w:rFonts w:hint="eastAsia" w:ascii="仿宋" w:hAnsi="仿宋" w:eastAsia="仿宋" w:cs="仿宋"/>
                <w:color w:val="auto"/>
                <w:szCs w:val="21"/>
                <w:highlight w:val="none"/>
                <w:lang w:val="en-US" w:eastAsia="zh-CN"/>
              </w:rPr>
              <w:t>3</w:t>
            </w:r>
            <w:r>
              <w:rPr>
                <w:rFonts w:hint="eastAsia" w:ascii="仿宋" w:hAnsi="仿宋" w:eastAsia="仿宋" w:cs="仿宋"/>
                <w:color w:val="auto"/>
                <w:szCs w:val="21"/>
                <w:highlight w:val="none"/>
                <w:lang w:eastAsia="zh-CN"/>
              </w:rPr>
              <w:t>）</w:t>
            </w:r>
            <w:r>
              <w:rPr>
                <w:rFonts w:hint="eastAsia" w:ascii="仿宋" w:hAnsi="仿宋" w:eastAsia="仿宋" w:cs="仿宋"/>
                <w:color w:val="auto"/>
                <w:szCs w:val="21"/>
                <w:highlight w:val="none"/>
                <w:lang w:val="en-US" w:eastAsia="zh-CN"/>
              </w:rPr>
              <w:t>助理社工师证优先。</w:t>
            </w:r>
          </w:p>
        </w:tc>
      </w:tr>
    </w:tbl>
    <w:p w14:paraId="69BC6577">
      <w:pPr>
        <w:spacing w:line="360" w:lineRule="auto"/>
        <w:ind w:firstLine="316" w:firstLineChars="150"/>
        <w:outlineLvl w:val="2"/>
        <w:rPr>
          <w:rFonts w:ascii="宋体" w:hAnsi="宋体" w:cs="宋体"/>
          <w:b/>
          <w:color w:val="auto"/>
          <w:szCs w:val="21"/>
          <w:highlight w:val="none"/>
        </w:rPr>
      </w:pPr>
      <w:r>
        <w:rPr>
          <w:rFonts w:hint="eastAsia" w:ascii="宋体" w:hAnsi="宋体" w:cs="宋体"/>
          <w:b/>
          <w:color w:val="auto"/>
          <w:szCs w:val="21"/>
          <w:highlight w:val="none"/>
        </w:rPr>
        <w:t>2.其他人员</w:t>
      </w:r>
    </w:p>
    <w:tbl>
      <w:tblPr>
        <w:tblStyle w:val="17"/>
        <w:tblW w:w="816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86"/>
        <w:gridCol w:w="1281"/>
        <w:gridCol w:w="5293"/>
      </w:tblGrid>
      <w:tr w14:paraId="3164D8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86" w:type="dxa"/>
            <w:noWrap w:val="0"/>
            <w:vAlign w:val="top"/>
          </w:tcPr>
          <w:p w14:paraId="51F13743">
            <w:pPr>
              <w:rPr>
                <w:rFonts w:hint="eastAsia" w:ascii="仿宋" w:hAnsi="仿宋" w:eastAsia="仿宋" w:cs="仿宋"/>
                <w:color w:val="auto"/>
                <w:szCs w:val="21"/>
                <w:highlight w:val="none"/>
              </w:rPr>
            </w:pPr>
            <w:r>
              <w:rPr>
                <w:rFonts w:hint="eastAsia" w:ascii="仿宋" w:hAnsi="仿宋" w:eastAsia="仿宋" w:cs="仿宋"/>
                <w:color w:val="auto"/>
                <w:szCs w:val="21"/>
                <w:highlight w:val="none"/>
              </w:rPr>
              <w:t>岗位名称</w:t>
            </w:r>
          </w:p>
        </w:tc>
        <w:tc>
          <w:tcPr>
            <w:tcW w:w="1281" w:type="dxa"/>
            <w:noWrap w:val="0"/>
            <w:vAlign w:val="top"/>
          </w:tcPr>
          <w:p w14:paraId="7D4305D7">
            <w:pPr>
              <w:rPr>
                <w:rFonts w:hint="eastAsia" w:ascii="仿宋" w:hAnsi="仿宋" w:eastAsia="仿宋" w:cs="仿宋"/>
                <w:color w:val="auto"/>
                <w:szCs w:val="21"/>
                <w:highlight w:val="none"/>
              </w:rPr>
            </w:pPr>
            <w:r>
              <w:rPr>
                <w:rFonts w:hint="eastAsia" w:ascii="仿宋" w:hAnsi="仿宋" w:eastAsia="仿宋" w:cs="仿宋"/>
                <w:color w:val="auto"/>
                <w:szCs w:val="21"/>
                <w:highlight w:val="none"/>
              </w:rPr>
              <w:t>数量</w:t>
            </w:r>
          </w:p>
        </w:tc>
        <w:tc>
          <w:tcPr>
            <w:tcW w:w="5293" w:type="dxa"/>
            <w:noWrap w:val="0"/>
            <w:vAlign w:val="top"/>
          </w:tcPr>
          <w:p w14:paraId="372906FC">
            <w:pPr>
              <w:ind w:firstLine="420" w:firstLineChars="200"/>
              <w:rPr>
                <w:rFonts w:hint="eastAsia" w:ascii="仿宋" w:hAnsi="仿宋" w:eastAsia="仿宋" w:cs="仿宋"/>
                <w:color w:val="auto"/>
                <w:szCs w:val="21"/>
                <w:highlight w:val="none"/>
              </w:rPr>
            </w:pPr>
            <w:r>
              <w:rPr>
                <w:rFonts w:hint="eastAsia" w:ascii="仿宋" w:hAnsi="仿宋" w:eastAsia="仿宋" w:cs="仿宋"/>
                <w:color w:val="auto"/>
                <w:szCs w:val="21"/>
                <w:highlight w:val="none"/>
              </w:rPr>
              <w:t>岗位要求</w:t>
            </w:r>
          </w:p>
        </w:tc>
      </w:tr>
      <w:tr w14:paraId="7ADA23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86" w:type="dxa"/>
            <w:noWrap w:val="0"/>
            <w:vAlign w:val="center"/>
          </w:tcPr>
          <w:p w14:paraId="768E54BB">
            <w:pPr>
              <w:jc w:val="center"/>
              <w:rPr>
                <w:rFonts w:hint="eastAsia" w:ascii="仿宋" w:hAnsi="仿宋" w:eastAsia="仿宋" w:cs="仿宋"/>
                <w:b/>
                <w:color w:val="auto"/>
                <w:szCs w:val="21"/>
                <w:highlight w:val="none"/>
              </w:rPr>
            </w:pPr>
            <w:r>
              <w:rPr>
                <w:rFonts w:hint="eastAsia" w:ascii="仿宋" w:hAnsi="仿宋" w:eastAsia="仿宋" w:cs="仿宋"/>
                <w:bCs/>
                <w:color w:val="auto"/>
                <w:szCs w:val="21"/>
                <w:highlight w:val="none"/>
              </w:rPr>
              <w:t>督导</w:t>
            </w:r>
          </w:p>
        </w:tc>
        <w:tc>
          <w:tcPr>
            <w:tcW w:w="1281" w:type="dxa"/>
            <w:noWrap w:val="0"/>
            <w:vAlign w:val="center"/>
          </w:tcPr>
          <w:p w14:paraId="13BA8C2F">
            <w:pPr>
              <w:jc w:val="center"/>
              <w:rPr>
                <w:rFonts w:hint="eastAsia" w:ascii="仿宋" w:hAnsi="仿宋" w:eastAsia="仿宋" w:cs="仿宋"/>
                <w:b/>
                <w:color w:val="auto"/>
                <w:szCs w:val="21"/>
                <w:highlight w:val="none"/>
              </w:rPr>
            </w:pPr>
            <w:r>
              <w:rPr>
                <w:rFonts w:hint="eastAsia" w:ascii="仿宋" w:hAnsi="仿宋" w:eastAsia="仿宋" w:cs="仿宋"/>
                <w:bCs/>
                <w:color w:val="auto"/>
                <w:szCs w:val="21"/>
                <w:highlight w:val="none"/>
              </w:rPr>
              <w:t>1名</w:t>
            </w:r>
          </w:p>
        </w:tc>
        <w:tc>
          <w:tcPr>
            <w:tcW w:w="5293" w:type="dxa"/>
            <w:noWrap w:val="0"/>
            <w:vAlign w:val="top"/>
          </w:tcPr>
          <w:p w14:paraId="50CD31C0">
            <w:pPr>
              <w:numPr>
                <w:ilvl w:val="0"/>
                <w:numId w:val="2"/>
              </w:numPr>
              <w:rPr>
                <w:rFonts w:hint="eastAsia" w:ascii="仿宋" w:hAnsi="仿宋" w:eastAsia="仿宋" w:cs="仿宋"/>
                <w:color w:val="auto"/>
                <w:szCs w:val="21"/>
                <w:highlight w:val="none"/>
              </w:rPr>
            </w:pPr>
            <w:r>
              <w:rPr>
                <w:rFonts w:hint="eastAsia" w:ascii="仿宋" w:hAnsi="仿宋" w:eastAsia="仿宋" w:cs="仿宋"/>
                <w:color w:val="auto"/>
                <w:szCs w:val="21"/>
                <w:highlight w:val="none"/>
              </w:rPr>
              <w:t>督导必须取得社会工作师</w:t>
            </w:r>
            <w:r>
              <w:rPr>
                <w:rFonts w:hint="eastAsia" w:ascii="仿宋" w:hAnsi="仿宋" w:eastAsia="仿宋" w:cs="仿宋"/>
                <w:bCs/>
                <w:color w:val="auto"/>
                <w:szCs w:val="21"/>
                <w:highlight w:val="none"/>
              </w:rPr>
              <w:t>（中级</w:t>
            </w:r>
            <w:r>
              <w:rPr>
                <w:rFonts w:hint="eastAsia" w:ascii="仿宋" w:hAnsi="仿宋" w:eastAsia="仿宋" w:cs="仿宋"/>
                <w:color w:val="auto"/>
                <w:szCs w:val="21"/>
                <w:highlight w:val="none"/>
              </w:rPr>
              <w:t>）资格，具有5</w:t>
            </w:r>
            <w:r>
              <w:rPr>
                <w:rFonts w:hint="eastAsia" w:ascii="仿宋" w:hAnsi="仿宋" w:eastAsia="仿宋" w:cs="仿宋"/>
                <w:bCs/>
                <w:color w:val="auto"/>
                <w:szCs w:val="21"/>
                <w:highlight w:val="none"/>
              </w:rPr>
              <w:t>年及以上一线</w:t>
            </w:r>
            <w:r>
              <w:rPr>
                <w:rFonts w:hint="eastAsia" w:ascii="仿宋" w:hAnsi="仿宋" w:eastAsia="仿宋" w:cs="仿宋"/>
                <w:color w:val="auto"/>
                <w:szCs w:val="21"/>
                <w:highlight w:val="none"/>
              </w:rPr>
              <w:t>社工实务经验，并获相关协会发出的</w:t>
            </w:r>
            <w:r>
              <w:rPr>
                <w:rFonts w:hint="eastAsia" w:ascii="仿宋" w:hAnsi="仿宋" w:eastAsia="仿宋" w:cs="仿宋"/>
                <w:bCs/>
                <w:color w:val="auto"/>
                <w:szCs w:val="21"/>
                <w:highlight w:val="none"/>
              </w:rPr>
              <w:t>督导班毕业</w:t>
            </w:r>
            <w:r>
              <w:rPr>
                <w:rFonts w:hint="eastAsia" w:ascii="仿宋" w:hAnsi="仿宋" w:eastAsia="仿宋" w:cs="仿宋"/>
                <w:color w:val="auto"/>
                <w:szCs w:val="21"/>
                <w:highlight w:val="none"/>
              </w:rPr>
              <w:t>证书。</w:t>
            </w:r>
          </w:p>
          <w:p w14:paraId="66A6CBFB">
            <w:pPr>
              <w:numPr>
                <w:ilvl w:val="0"/>
                <w:numId w:val="2"/>
              </w:numPr>
              <w:rPr>
                <w:rFonts w:hint="eastAsia" w:ascii="仿宋" w:hAnsi="仿宋" w:eastAsia="仿宋" w:cs="仿宋"/>
                <w:color w:val="auto"/>
                <w:szCs w:val="21"/>
                <w:highlight w:val="none"/>
              </w:rPr>
            </w:pPr>
            <w:r>
              <w:rPr>
                <w:rFonts w:hint="eastAsia" w:ascii="仿宋" w:hAnsi="仿宋" w:eastAsia="仿宋" w:cs="仿宋"/>
                <w:color w:val="auto"/>
                <w:szCs w:val="21"/>
                <w:highlight w:val="none"/>
              </w:rPr>
              <w:t>本项目督导必须具有国内医务社工项目督导经验，或者有不少于3年本土医务社工专项负责人的经历。</w:t>
            </w:r>
          </w:p>
          <w:p w14:paraId="32ABEFF2">
            <w:pPr>
              <w:rPr>
                <w:rFonts w:hint="eastAsia" w:ascii="仿宋" w:hAnsi="仿宋" w:eastAsia="仿宋" w:cs="仿宋"/>
                <w:bCs/>
                <w:color w:val="auto"/>
                <w:szCs w:val="21"/>
                <w:highlight w:val="none"/>
              </w:rPr>
            </w:pPr>
            <w:r>
              <w:rPr>
                <w:rFonts w:hint="eastAsia" w:ascii="仿宋" w:hAnsi="仿宋" w:eastAsia="仿宋" w:cs="仿宋"/>
                <w:color w:val="auto"/>
                <w:szCs w:val="21"/>
                <w:highlight w:val="none"/>
              </w:rPr>
              <w:t>(3)</w:t>
            </w:r>
            <w:r>
              <w:rPr>
                <w:rFonts w:hint="eastAsia" w:ascii="仿宋" w:hAnsi="仿宋" w:eastAsia="仿宋" w:cs="仿宋"/>
                <w:bCs/>
                <w:color w:val="auto"/>
                <w:szCs w:val="21"/>
                <w:highlight w:val="none"/>
              </w:rPr>
              <w:t>每月</w:t>
            </w:r>
            <w:r>
              <w:rPr>
                <w:rFonts w:hint="eastAsia" w:ascii="仿宋" w:hAnsi="仿宋" w:eastAsia="仿宋" w:cs="仿宋"/>
                <w:color w:val="auto"/>
                <w:szCs w:val="21"/>
                <w:highlight w:val="none"/>
              </w:rPr>
              <w:t>至少督导一次，每次不少于</w:t>
            </w:r>
            <w:r>
              <w:rPr>
                <w:rFonts w:hint="eastAsia" w:ascii="仿宋" w:hAnsi="仿宋" w:eastAsia="仿宋" w:cs="仿宋"/>
                <w:bCs/>
                <w:color w:val="auto"/>
                <w:szCs w:val="21"/>
                <w:highlight w:val="none"/>
              </w:rPr>
              <w:t>4小时</w:t>
            </w:r>
            <w:r>
              <w:rPr>
                <w:rFonts w:hint="eastAsia" w:ascii="仿宋" w:hAnsi="仿宋" w:eastAsia="仿宋" w:cs="仿宋"/>
                <w:color w:val="auto"/>
                <w:szCs w:val="21"/>
                <w:highlight w:val="none"/>
              </w:rPr>
              <w:t>。</w:t>
            </w:r>
          </w:p>
        </w:tc>
      </w:tr>
      <w:tr w14:paraId="528306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87" w:hRule="atLeast"/>
          <w:jc w:val="center"/>
        </w:trPr>
        <w:tc>
          <w:tcPr>
            <w:tcW w:w="1586" w:type="dxa"/>
            <w:noWrap w:val="0"/>
            <w:vAlign w:val="center"/>
          </w:tcPr>
          <w:p w14:paraId="1D4CE69D">
            <w:pPr>
              <w:jc w:val="center"/>
              <w:rPr>
                <w:rFonts w:hint="default" w:ascii="仿宋" w:hAnsi="仿宋" w:eastAsia="仿宋" w:cs="仿宋"/>
                <w:bCs/>
                <w:color w:val="auto"/>
                <w:szCs w:val="21"/>
                <w:highlight w:val="none"/>
                <w:lang w:val="en-US" w:eastAsia="zh-CN"/>
              </w:rPr>
            </w:pPr>
            <w:r>
              <w:rPr>
                <w:rFonts w:hint="eastAsia" w:ascii="仿宋" w:hAnsi="仿宋" w:eastAsia="仿宋" w:cs="仿宋"/>
                <w:bCs/>
                <w:color w:val="auto"/>
                <w:szCs w:val="21"/>
                <w:highlight w:val="none"/>
                <w:lang w:val="en-US" w:eastAsia="zh-CN"/>
              </w:rPr>
              <w:t>项目实习生</w:t>
            </w:r>
          </w:p>
        </w:tc>
        <w:tc>
          <w:tcPr>
            <w:tcW w:w="1281" w:type="dxa"/>
            <w:noWrap w:val="0"/>
            <w:vAlign w:val="center"/>
          </w:tcPr>
          <w:p w14:paraId="5631FB70">
            <w:pPr>
              <w:jc w:val="center"/>
              <w:rPr>
                <w:rFonts w:hint="default" w:ascii="仿宋" w:hAnsi="仿宋" w:eastAsia="仿宋" w:cs="仿宋"/>
                <w:bCs/>
                <w:color w:val="auto"/>
                <w:szCs w:val="21"/>
                <w:highlight w:val="none"/>
                <w:lang w:val="en-US" w:eastAsia="zh-CN"/>
              </w:rPr>
            </w:pPr>
            <w:r>
              <w:rPr>
                <w:rFonts w:hint="eastAsia" w:ascii="仿宋" w:hAnsi="仿宋" w:eastAsia="仿宋" w:cs="仿宋"/>
                <w:bCs/>
                <w:color w:val="auto"/>
                <w:szCs w:val="21"/>
                <w:highlight w:val="none"/>
                <w:lang w:val="en-US" w:eastAsia="zh-CN"/>
              </w:rPr>
              <w:t>1名</w:t>
            </w:r>
          </w:p>
        </w:tc>
        <w:tc>
          <w:tcPr>
            <w:tcW w:w="5293" w:type="dxa"/>
            <w:noWrap w:val="0"/>
            <w:vAlign w:val="top"/>
          </w:tcPr>
          <w:p w14:paraId="656823B2">
            <w:pPr>
              <w:pStyle w:val="1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eastAsia" w:ascii="仿宋" w:hAnsi="仿宋" w:eastAsia="仿宋" w:cs="仿宋"/>
                <w:color w:val="auto"/>
                <w:kern w:val="2"/>
                <w:sz w:val="21"/>
                <w:szCs w:val="21"/>
                <w:highlight w:val="none"/>
                <w:lang w:val="en-US" w:eastAsia="zh-CN" w:bidi="ar-SA"/>
              </w:rPr>
            </w:pPr>
            <w:r>
              <w:rPr>
                <w:rFonts w:hint="eastAsia" w:ascii="仿宋" w:hAnsi="仿宋" w:eastAsia="仿宋" w:cs="仿宋"/>
                <w:color w:val="auto"/>
                <w:kern w:val="2"/>
                <w:sz w:val="21"/>
                <w:szCs w:val="21"/>
                <w:highlight w:val="none"/>
                <w:lang w:val="en-US" w:eastAsia="zh-CN" w:bidi="ar-SA"/>
              </w:rPr>
              <w:t>（1）社会工作或相关专业；</w:t>
            </w:r>
          </w:p>
          <w:p w14:paraId="5020AB25">
            <w:pPr>
              <w:pStyle w:val="1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eastAsia" w:ascii="仿宋" w:hAnsi="仿宋" w:eastAsia="仿宋" w:cs="仿宋"/>
                <w:color w:val="auto"/>
                <w:kern w:val="2"/>
                <w:sz w:val="21"/>
                <w:szCs w:val="21"/>
                <w:highlight w:val="none"/>
                <w:lang w:val="en-US" w:eastAsia="zh-CN" w:bidi="ar-SA"/>
              </w:rPr>
            </w:pPr>
            <w:r>
              <w:rPr>
                <w:rFonts w:hint="eastAsia" w:ascii="仿宋" w:hAnsi="仿宋" w:eastAsia="仿宋" w:cs="仿宋"/>
                <w:color w:val="auto"/>
                <w:kern w:val="2"/>
                <w:sz w:val="21"/>
                <w:szCs w:val="21"/>
                <w:highlight w:val="none"/>
                <w:lang w:val="en-US" w:eastAsia="zh-CN" w:bidi="ar-SA"/>
              </w:rPr>
              <w:t>（2）认同社工的工作理论和工作手法，能坚持社工的工作原则；</w:t>
            </w:r>
          </w:p>
          <w:p w14:paraId="0590703E">
            <w:pPr>
              <w:pStyle w:val="1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仿宋" w:hAnsi="仿宋" w:eastAsia="仿宋" w:cs="仿宋"/>
                <w:color w:val="auto"/>
                <w:szCs w:val="21"/>
                <w:highlight w:val="none"/>
                <w:lang w:val="en-US" w:eastAsia="zh-CN"/>
              </w:rPr>
            </w:pPr>
            <w:r>
              <w:rPr>
                <w:rFonts w:hint="eastAsia" w:ascii="仿宋" w:hAnsi="仿宋" w:eastAsia="仿宋" w:cs="仿宋"/>
                <w:color w:val="auto"/>
                <w:kern w:val="2"/>
                <w:sz w:val="21"/>
                <w:szCs w:val="21"/>
                <w:highlight w:val="none"/>
                <w:lang w:val="en-US" w:eastAsia="zh-CN" w:bidi="ar-SA"/>
              </w:rPr>
              <w:t>（3）品行端正，热爱社会工作事业，乐于与社会不同群体接触及提供服务</w:t>
            </w:r>
            <w:r>
              <w:rPr>
                <w:rFonts w:hint="eastAsia" w:ascii="仿宋" w:hAnsi="仿宋" w:eastAsia="仿宋" w:cs="仿宋"/>
                <w:color w:val="auto"/>
                <w:kern w:val="2"/>
                <w:sz w:val="21"/>
                <w:szCs w:val="21"/>
                <w:highlight w:val="none"/>
                <w:lang w:val="en-US" w:eastAsia="zh-CN" w:bidi="ar-SA"/>
              </w:rPr>
              <w:br w:type="textWrapping"/>
            </w:r>
            <w:r>
              <w:rPr>
                <w:rFonts w:hint="eastAsia" w:ascii="仿宋" w:hAnsi="仿宋" w:eastAsia="仿宋" w:cs="仿宋"/>
                <w:color w:val="auto"/>
                <w:kern w:val="2"/>
                <w:sz w:val="21"/>
                <w:szCs w:val="21"/>
                <w:highlight w:val="none"/>
                <w:lang w:val="en-US" w:eastAsia="zh-CN" w:bidi="ar-SA"/>
              </w:rPr>
              <w:t>（4）累计实习时长不少于6个月。</w:t>
            </w:r>
          </w:p>
        </w:tc>
      </w:tr>
    </w:tbl>
    <w:p w14:paraId="55F56ACB">
      <w:pPr>
        <w:adjustRightInd w:val="0"/>
        <w:snapToGrid w:val="0"/>
        <w:spacing w:line="360" w:lineRule="auto"/>
        <w:ind w:firstLine="482" w:firstLineChars="200"/>
        <w:outlineLvl w:val="1"/>
        <w:rPr>
          <w:rFonts w:ascii="宋体" w:hAnsi="宋体" w:cs="宋体"/>
          <w:b/>
          <w:bCs/>
          <w:color w:val="auto"/>
          <w:sz w:val="24"/>
          <w:szCs w:val="24"/>
          <w:highlight w:val="none"/>
        </w:rPr>
      </w:pPr>
      <w:r>
        <w:rPr>
          <w:rFonts w:hint="eastAsia" w:ascii="宋体" w:hAnsi="宋体" w:cs="宋体"/>
          <w:b/>
          <w:bCs/>
          <w:color w:val="auto"/>
          <w:sz w:val="24"/>
          <w:szCs w:val="24"/>
          <w:highlight w:val="none"/>
        </w:rPr>
        <w:t>（六）管理制度建设</w:t>
      </w:r>
    </w:p>
    <w:p w14:paraId="343072C3">
      <w:pPr>
        <w:spacing w:line="360" w:lineRule="auto"/>
        <w:ind w:firstLine="456" w:firstLineChars="200"/>
        <w:rPr>
          <w:rFonts w:hint="eastAsia" w:ascii="仿宋" w:hAnsi="仿宋" w:eastAsia="仿宋" w:cs="仿宋"/>
          <w:color w:val="auto"/>
          <w:spacing w:val="-6"/>
          <w:sz w:val="24"/>
          <w:szCs w:val="24"/>
          <w:highlight w:val="none"/>
        </w:rPr>
      </w:pPr>
      <w:r>
        <w:rPr>
          <w:rFonts w:hint="eastAsia" w:ascii="仿宋" w:hAnsi="仿宋" w:eastAsia="仿宋" w:cs="仿宋"/>
          <w:color w:val="auto"/>
          <w:spacing w:val="-6"/>
          <w:sz w:val="24"/>
          <w:szCs w:val="24"/>
          <w:highlight w:val="none"/>
        </w:rPr>
        <w:t>供应商需为本项目的正常运作，专门建立下列管理制度：</w:t>
      </w:r>
    </w:p>
    <w:p w14:paraId="76D849A9">
      <w:pPr>
        <w:spacing w:line="360" w:lineRule="auto"/>
        <w:ind w:firstLine="456" w:firstLineChars="200"/>
        <w:outlineLvl w:val="2"/>
        <w:rPr>
          <w:rFonts w:hint="eastAsia" w:ascii="仿宋" w:hAnsi="仿宋" w:eastAsia="仿宋" w:cs="仿宋"/>
          <w:color w:val="auto"/>
          <w:spacing w:val="-6"/>
          <w:sz w:val="24"/>
          <w:szCs w:val="24"/>
          <w:highlight w:val="none"/>
        </w:rPr>
      </w:pPr>
      <w:r>
        <w:rPr>
          <w:rFonts w:hint="eastAsia" w:ascii="仿宋" w:hAnsi="仿宋" w:eastAsia="仿宋" w:cs="仿宋"/>
          <w:color w:val="auto"/>
          <w:spacing w:val="-6"/>
          <w:sz w:val="24"/>
          <w:szCs w:val="24"/>
          <w:highlight w:val="none"/>
        </w:rPr>
        <w:t>1.运营管理制度；</w:t>
      </w:r>
    </w:p>
    <w:p w14:paraId="03293D50">
      <w:pPr>
        <w:spacing w:line="360" w:lineRule="auto"/>
        <w:ind w:firstLine="456" w:firstLineChars="200"/>
        <w:outlineLvl w:val="2"/>
        <w:rPr>
          <w:rFonts w:hint="eastAsia" w:ascii="仿宋" w:hAnsi="仿宋" w:eastAsia="仿宋" w:cs="仿宋"/>
          <w:color w:val="auto"/>
          <w:spacing w:val="-6"/>
          <w:sz w:val="24"/>
          <w:szCs w:val="24"/>
          <w:highlight w:val="none"/>
        </w:rPr>
      </w:pPr>
      <w:r>
        <w:rPr>
          <w:rFonts w:hint="eastAsia" w:ascii="仿宋" w:hAnsi="仿宋" w:eastAsia="仿宋" w:cs="仿宋"/>
          <w:color w:val="auto"/>
          <w:spacing w:val="-6"/>
          <w:sz w:val="24"/>
          <w:szCs w:val="24"/>
          <w:highlight w:val="none"/>
        </w:rPr>
        <w:t>2.财务管理制度；</w:t>
      </w:r>
    </w:p>
    <w:p w14:paraId="47A63315">
      <w:pPr>
        <w:spacing w:line="360" w:lineRule="auto"/>
        <w:ind w:firstLine="456" w:firstLineChars="200"/>
        <w:outlineLvl w:val="2"/>
        <w:rPr>
          <w:rFonts w:hint="eastAsia" w:ascii="仿宋" w:hAnsi="仿宋" w:eastAsia="仿宋" w:cs="仿宋"/>
          <w:color w:val="auto"/>
          <w:spacing w:val="-6"/>
          <w:sz w:val="24"/>
          <w:szCs w:val="24"/>
          <w:highlight w:val="none"/>
        </w:rPr>
      </w:pPr>
      <w:r>
        <w:rPr>
          <w:rFonts w:hint="eastAsia" w:ascii="仿宋" w:hAnsi="仿宋" w:eastAsia="仿宋" w:cs="仿宋"/>
          <w:color w:val="auto"/>
          <w:spacing w:val="-6"/>
          <w:sz w:val="24"/>
          <w:szCs w:val="24"/>
          <w:highlight w:val="none"/>
        </w:rPr>
        <w:t>3.人力资源管理制度；</w:t>
      </w:r>
    </w:p>
    <w:p w14:paraId="26DDDADA">
      <w:pPr>
        <w:spacing w:line="360" w:lineRule="auto"/>
        <w:ind w:firstLine="456" w:firstLineChars="200"/>
        <w:outlineLvl w:val="2"/>
        <w:rPr>
          <w:rFonts w:hint="eastAsia" w:ascii="仿宋" w:hAnsi="仿宋" w:eastAsia="仿宋" w:cs="仿宋"/>
          <w:color w:val="auto"/>
          <w:spacing w:val="-6"/>
          <w:sz w:val="24"/>
          <w:szCs w:val="24"/>
          <w:highlight w:val="none"/>
        </w:rPr>
      </w:pPr>
      <w:r>
        <w:rPr>
          <w:rFonts w:hint="eastAsia" w:ascii="仿宋" w:hAnsi="仿宋" w:eastAsia="仿宋" w:cs="仿宋"/>
          <w:color w:val="auto"/>
          <w:spacing w:val="-6"/>
          <w:sz w:val="24"/>
          <w:szCs w:val="24"/>
          <w:highlight w:val="none"/>
        </w:rPr>
        <w:t>4.文件及档案管理制度；</w:t>
      </w:r>
    </w:p>
    <w:p w14:paraId="2B7F3C08">
      <w:pPr>
        <w:spacing w:line="360" w:lineRule="auto"/>
        <w:ind w:firstLine="456" w:firstLineChars="200"/>
        <w:outlineLvl w:val="2"/>
        <w:rPr>
          <w:rFonts w:hint="eastAsia" w:ascii="仿宋" w:hAnsi="仿宋" w:eastAsia="仿宋" w:cs="仿宋"/>
          <w:color w:val="auto"/>
          <w:spacing w:val="-6"/>
          <w:sz w:val="24"/>
          <w:szCs w:val="24"/>
          <w:highlight w:val="none"/>
        </w:rPr>
      </w:pPr>
      <w:r>
        <w:rPr>
          <w:rFonts w:hint="eastAsia" w:ascii="仿宋" w:hAnsi="仿宋" w:eastAsia="仿宋" w:cs="仿宋"/>
          <w:color w:val="auto"/>
          <w:spacing w:val="-6"/>
          <w:sz w:val="24"/>
          <w:szCs w:val="24"/>
          <w:highlight w:val="none"/>
        </w:rPr>
        <w:t>5.志愿服务管理制度；</w:t>
      </w:r>
    </w:p>
    <w:p w14:paraId="32962EEF">
      <w:pPr>
        <w:spacing w:line="360" w:lineRule="auto"/>
        <w:ind w:firstLine="456" w:firstLineChars="200"/>
        <w:outlineLvl w:val="2"/>
        <w:rPr>
          <w:rFonts w:hint="eastAsia" w:ascii="仿宋" w:hAnsi="仿宋" w:eastAsia="仿宋" w:cs="仿宋"/>
          <w:color w:val="auto"/>
          <w:spacing w:val="-6"/>
          <w:sz w:val="24"/>
          <w:szCs w:val="24"/>
          <w:highlight w:val="none"/>
        </w:rPr>
      </w:pPr>
      <w:r>
        <w:rPr>
          <w:rFonts w:hint="eastAsia" w:ascii="仿宋" w:hAnsi="仿宋" w:eastAsia="仿宋" w:cs="仿宋"/>
          <w:color w:val="auto"/>
          <w:spacing w:val="-6"/>
          <w:sz w:val="24"/>
          <w:szCs w:val="24"/>
          <w:highlight w:val="none"/>
        </w:rPr>
        <w:t>6.服务质素保证制度；</w:t>
      </w:r>
    </w:p>
    <w:p w14:paraId="01845CF9">
      <w:pPr>
        <w:spacing w:line="360" w:lineRule="auto"/>
        <w:ind w:firstLine="342" w:firstLineChars="150"/>
        <w:rPr>
          <w:rFonts w:hint="eastAsia" w:ascii="仿宋" w:hAnsi="仿宋" w:eastAsia="仿宋" w:cs="仿宋"/>
          <w:color w:val="auto"/>
          <w:spacing w:val="-6"/>
          <w:sz w:val="24"/>
          <w:szCs w:val="24"/>
          <w:highlight w:val="none"/>
        </w:rPr>
      </w:pPr>
      <w:r>
        <w:rPr>
          <w:rFonts w:hint="eastAsia" w:ascii="仿宋" w:hAnsi="仿宋" w:eastAsia="仿宋" w:cs="仿宋"/>
          <w:color w:val="auto"/>
          <w:spacing w:val="-6"/>
          <w:sz w:val="24"/>
          <w:szCs w:val="24"/>
          <w:highlight w:val="none"/>
        </w:rPr>
        <w:t>（含“个案服务指引及系列表格”、“活动指引程序及系列表格”、“服务转介指引及系列表格”、“探访指引”、“危机处理指引”、个案管理及资源中心运营指引、“医务志愿者导向指引”等）；</w:t>
      </w:r>
    </w:p>
    <w:p w14:paraId="20891A2F">
      <w:pPr>
        <w:spacing w:line="360" w:lineRule="auto"/>
        <w:ind w:firstLine="456" w:firstLineChars="200"/>
        <w:outlineLvl w:val="2"/>
        <w:rPr>
          <w:rFonts w:hint="eastAsia" w:ascii="仿宋" w:hAnsi="仿宋" w:eastAsia="仿宋" w:cs="仿宋"/>
          <w:color w:val="auto"/>
          <w:spacing w:val="-6"/>
          <w:sz w:val="24"/>
          <w:szCs w:val="24"/>
          <w:highlight w:val="none"/>
        </w:rPr>
      </w:pPr>
      <w:r>
        <w:rPr>
          <w:rFonts w:hint="eastAsia" w:ascii="仿宋" w:hAnsi="仿宋" w:eastAsia="仿宋" w:cs="仿宋"/>
          <w:color w:val="auto"/>
          <w:spacing w:val="-6"/>
          <w:sz w:val="24"/>
          <w:szCs w:val="24"/>
          <w:highlight w:val="none"/>
        </w:rPr>
        <w:t>7、医护社工合作沟通制度。</w:t>
      </w:r>
    </w:p>
    <w:p w14:paraId="796837CC">
      <w:pPr>
        <w:adjustRightInd w:val="0"/>
        <w:snapToGrid w:val="0"/>
        <w:spacing w:line="360" w:lineRule="auto"/>
        <w:ind w:firstLine="482" w:firstLineChars="200"/>
        <w:outlineLvl w:val="1"/>
        <w:rPr>
          <w:rFonts w:ascii="宋体" w:hAnsi="宋体" w:cs="宋体"/>
          <w:b/>
          <w:bCs/>
          <w:color w:val="auto"/>
          <w:sz w:val="24"/>
          <w:szCs w:val="24"/>
          <w:highlight w:val="none"/>
        </w:rPr>
      </w:pPr>
      <w:r>
        <w:rPr>
          <w:rFonts w:hint="eastAsia" w:ascii="宋体" w:hAnsi="宋体" w:cs="宋体"/>
          <w:b/>
          <w:bCs/>
          <w:color w:val="auto"/>
          <w:sz w:val="24"/>
          <w:szCs w:val="24"/>
          <w:highlight w:val="none"/>
        </w:rPr>
        <w:t xml:space="preserve">（七）服务指标 </w:t>
      </w:r>
    </w:p>
    <w:tbl>
      <w:tblPr>
        <w:tblStyle w:val="17"/>
        <w:tblW w:w="5109" w:type="pct"/>
        <w:tblInd w:w="0" w:type="dxa"/>
        <w:tblLayout w:type="autofit"/>
        <w:tblCellMar>
          <w:top w:w="0" w:type="dxa"/>
          <w:left w:w="0" w:type="dxa"/>
          <w:bottom w:w="0" w:type="dxa"/>
          <w:right w:w="0" w:type="dxa"/>
        </w:tblCellMar>
      </w:tblPr>
      <w:tblGrid>
        <w:gridCol w:w="1326"/>
        <w:gridCol w:w="1096"/>
        <w:gridCol w:w="3308"/>
        <w:gridCol w:w="1651"/>
        <w:gridCol w:w="1137"/>
      </w:tblGrid>
      <w:tr w14:paraId="3B19364A">
        <w:tblPrEx>
          <w:tblCellMar>
            <w:top w:w="0" w:type="dxa"/>
            <w:left w:w="0" w:type="dxa"/>
            <w:bottom w:w="0" w:type="dxa"/>
            <w:right w:w="0" w:type="dxa"/>
          </w:tblCellMar>
        </w:tblPrEx>
        <w:trPr>
          <w:trHeight w:val="285" w:hRule="atLeast"/>
        </w:trPr>
        <w:tc>
          <w:tcPr>
            <w:tcW w:w="778" w:type="pc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FC825C9">
            <w:pPr>
              <w:widowControl/>
              <w:jc w:val="center"/>
              <w:textAlignment w:val="center"/>
              <w:rPr>
                <w:rFonts w:hint="eastAsia" w:ascii="仿宋" w:hAnsi="仿宋" w:eastAsia="仿宋" w:cs="仿宋"/>
                <w:b/>
                <w:color w:val="auto"/>
                <w:kern w:val="0"/>
                <w:szCs w:val="21"/>
                <w:highlight w:val="none"/>
              </w:rPr>
            </w:pPr>
            <w:r>
              <w:rPr>
                <w:rFonts w:hint="eastAsia" w:ascii="仿宋" w:hAnsi="仿宋" w:eastAsia="仿宋" w:cs="仿宋"/>
                <w:b/>
                <w:color w:val="auto"/>
                <w:kern w:val="0"/>
                <w:szCs w:val="21"/>
                <w:highlight w:val="none"/>
              </w:rPr>
              <w:t>服务类别</w:t>
            </w:r>
          </w:p>
        </w:tc>
        <w:tc>
          <w:tcPr>
            <w:tcW w:w="643" w:type="pc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388355A">
            <w:pPr>
              <w:widowControl/>
              <w:jc w:val="center"/>
              <w:textAlignment w:val="center"/>
              <w:rPr>
                <w:rFonts w:hint="eastAsia" w:ascii="仿宋" w:hAnsi="仿宋" w:eastAsia="仿宋" w:cs="仿宋"/>
                <w:b/>
                <w:color w:val="auto"/>
                <w:kern w:val="0"/>
                <w:szCs w:val="21"/>
                <w:highlight w:val="none"/>
              </w:rPr>
            </w:pPr>
            <w:r>
              <w:rPr>
                <w:rFonts w:hint="eastAsia" w:ascii="仿宋" w:hAnsi="仿宋" w:eastAsia="仿宋" w:cs="仿宋"/>
                <w:b/>
                <w:color w:val="auto"/>
                <w:kern w:val="0"/>
                <w:szCs w:val="21"/>
                <w:highlight w:val="none"/>
              </w:rPr>
              <w:t>服务目标</w:t>
            </w:r>
          </w:p>
        </w:tc>
        <w:tc>
          <w:tcPr>
            <w:tcW w:w="1941" w:type="pc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BBF3644">
            <w:pPr>
              <w:widowControl/>
              <w:jc w:val="center"/>
              <w:textAlignment w:val="center"/>
              <w:rPr>
                <w:rFonts w:hint="eastAsia" w:ascii="仿宋" w:hAnsi="仿宋" w:eastAsia="仿宋" w:cs="仿宋"/>
                <w:b/>
                <w:color w:val="auto"/>
                <w:kern w:val="0"/>
                <w:szCs w:val="21"/>
                <w:highlight w:val="none"/>
              </w:rPr>
            </w:pPr>
            <w:r>
              <w:rPr>
                <w:rFonts w:hint="eastAsia" w:ascii="仿宋" w:hAnsi="仿宋" w:eastAsia="仿宋" w:cs="仿宋"/>
                <w:b/>
                <w:color w:val="auto"/>
                <w:kern w:val="0"/>
                <w:szCs w:val="21"/>
                <w:highlight w:val="none"/>
              </w:rPr>
              <w:t>服务内容</w:t>
            </w:r>
          </w:p>
        </w:tc>
        <w:tc>
          <w:tcPr>
            <w:tcW w:w="969" w:type="pc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E3BD0DC">
            <w:pPr>
              <w:widowControl/>
              <w:jc w:val="center"/>
              <w:textAlignment w:val="center"/>
              <w:rPr>
                <w:rFonts w:hint="eastAsia" w:ascii="仿宋" w:hAnsi="仿宋" w:eastAsia="仿宋" w:cs="仿宋"/>
                <w:b/>
                <w:color w:val="auto"/>
                <w:kern w:val="0"/>
                <w:szCs w:val="21"/>
                <w:highlight w:val="none"/>
              </w:rPr>
            </w:pPr>
            <w:r>
              <w:rPr>
                <w:rFonts w:hint="eastAsia" w:ascii="仿宋" w:hAnsi="仿宋" w:eastAsia="仿宋" w:cs="仿宋"/>
                <w:b/>
                <w:color w:val="auto"/>
                <w:kern w:val="0"/>
                <w:szCs w:val="21"/>
                <w:highlight w:val="none"/>
              </w:rPr>
              <w:t>量化内容</w:t>
            </w:r>
          </w:p>
        </w:tc>
        <w:tc>
          <w:tcPr>
            <w:tcW w:w="667" w:type="pc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9968A1F">
            <w:pPr>
              <w:widowControl/>
              <w:jc w:val="center"/>
              <w:textAlignment w:val="center"/>
              <w:rPr>
                <w:rFonts w:hint="eastAsia" w:ascii="仿宋" w:hAnsi="仿宋" w:eastAsia="仿宋" w:cs="仿宋"/>
                <w:b/>
                <w:color w:val="auto"/>
                <w:kern w:val="0"/>
                <w:szCs w:val="21"/>
                <w:highlight w:val="none"/>
              </w:rPr>
            </w:pPr>
            <w:r>
              <w:rPr>
                <w:rFonts w:hint="eastAsia" w:ascii="仿宋" w:hAnsi="仿宋" w:eastAsia="仿宋" w:cs="仿宋"/>
                <w:b/>
                <w:color w:val="auto"/>
                <w:kern w:val="0"/>
                <w:szCs w:val="21"/>
                <w:highlight w:val="none"/>
              </w:rPr>
              <w:t>量化指标</w:t>
            </w:r>
          </w:p>
        </w:tc>
      </w:tr>
      <w:tr w14:paraId="7C9AE48F">
        <w:tblPrEx>
          <w:tblCellMar>
            <w:top w:w="0" w:type="dxa"/>
            <w:left w:w="0" w:type="dxa"/>
            <w:bottom w:w="0" w:type="dxa"/>
            <w:right w:w="0" w:type="dxa"/>
          </w:tblCellMar>
        </w:tblPrEx>
        <w:trPr>
          <w:trHeight w:val="90" w:hRule="atLeast"/>
        </w:trPr>
        <w:tc>
          <w:tcPr>
            <w:tcW w:w="778" w:type="pct"/>
            <w:vMerge w:val="restart"/>
            <w:tcBorders>
              <w:left w:val="single" w:color="000000" w:sz="4" w:space="0"/>
              <w:right w:val="single" w:color="000000" w:sz="4" w:space="0"/>
            </w:tcBorders>
            <w:noWrap w:val="0"/>
            <w:tcMar>
              <w:top w:w="15" w:type="dxa"/>
              <w:left w:w="15" w:type="dxa"/>
              <w:right w:w="15" w:type="dxa"/>
            </w:tcMar>
            <w:vAlign w:val="center"/>
          </w:tcPr>
          <w:p w14:paraId="601C1175">
            <w:pPr>
              <w:widowControl/>
              <w:jc w:val="center"/>
              <w:textAlignment w:val="center"/>
              <w:rPr>
                <w:rFonts w:hint="default" w:ascii="宋体" w:hAnsi="宋体" w:eastAsia="宋体" w:cs="宋体"/>
                <w:b/>
                <w:color w:val="auto"/>
                <w:kern w:val="0"/>
                <w:sz w:val="24"/>
                <w:szCs w:val="24"/>
                <w:highlight w:val="none"/>
                <w:lang w:val="en-US" w:eastAsia="zh-CN"/>
              </w:rPr>
            </w:pPr>
            <w:r>
              <w:rPr>
                <w:rFonts w:hint="eastAsia" w:ascii="宋体" w:hAnsi="宋体" w:eastAsia="宋体" w:cs="宋体"/>
                <w:b/>
                <w:color w:val="auto"/>
                <w:kern w:val="0"/>
                <w:sz w:val="24"/>
                <w:szCs w:val="24"/>
                <w:highlight w:val="none"/>
                <w:lang w:val="en-US" w:eastAsia="zh-CN"/>
              </w:rPr>
              <w:t>困境患者及家庭关爱支持</w:t>
            </w:r>
          </w:p>
        </w:tc>
        <w:tc>
          <w:tcPr>
            <w:tcW w:w="643" w:type="pct"/>
            <w:vMerge w:val="restart"/>
            <w:tcBorders>
              <w:top w:val="single" w:color="000000" w:sz="4" w:space="0"/>
              <w:left w:val="single" w:color="000000" w:sz="4" w:space="0"/>
              <w:right w:val="single" w:color="000000" w:sz="4" w:space="0"/>
            </w:tcBorders>
            <w:noWrap w:val="0"/>
            <w:tcMar>
              <w:top w:w="15" w:type="dxa"/>
              <w:left w:w="15" w:type="dxa"/>
              <w:right w:w="15" w:type="dxa"/>
            </w:tcMar>
            <w:vAlign w:val="center"/>
          </w:tcPr>
          <w:p w14:paraId="0620F09E">
            <w:pPr>
              <w:widowControl/>
              <w:jc w:val="center"/>
              <w:textAlignment w:val="center"/>
              <w:rPr>
                <w:rFonts w:hint="default" w:ascii="仿宋" w:hAnsi="仿宋" w:eastAsia="仿宋" w:cs="仿宋"/>
                <w:color w:val="auto"/>
                <w:kern w:val="0"/>
                <w:szCs w:val="21"/>
                <w:highlight w:val="none"/>
                <w:lang w:val="en-US" w:bidi="ar"/>
              </w:rPr>
            </w:pPr>
            <w:r>
              <w:rPr>
                <w:rFonts w:hint="eastAsia" w:ascii="仿宋" w:hAnsi="仿宋" w:eastAsia="仿宋" w:cs="仿宋"/>
                <w:color w:val="auto"/>
                <w:highlight w:val="none"/>
                <w:lang w:val="en-US" w:eastAsia="zh-CN"/>
              </w:rPr>
              <w:t>关注重点人群，协助其缓解因疾病而产生的情绪问题，给予及时的关爱与支持。</w:t>
            </w:r>
          </w:p>
        </w:tc>
        <w:tc>
          <w:tcPr>
            <w:tcW w:w="1941" w:type="pct"/>
            <w:tcBorders>
              <w:top w:val="single" w:color="000000" w:sz="4" w:space="0"/>
              <w:left w:val="single" w:color="000000" w:sz="4" w:space="0"/>
              <w:right w:val="single" w:color="000000" w:sz="4" w:space="0"/>
            </w:tcBorders>
            <w:noWrap w:val="0"/>
            <w:tcMar>
              <w:top w:w="15" w:type="dxa"/>
              <w:left w:w="15" w:type="dxa"/>
              <w:right w:w="15" w:type="dxa"/>
            </w:tcMar>
            <w:vAlign w:val="center"/>
          </w:tcPr>
          <w:p w14:paraId="38E3A03C">
            <w:pPr>
              <w:widowControl/>
              <w:jc w:val="center"/>
              <w:textAlignment w:val="center"/>
              <w:rPr>
                <w:rFonts w:hint="default" w:ascii="仿宋" w:hAnsi="仿宋" w:eastAsia="仿宋" w:cs="仿宋"/>
                <w:color w:val="auto"/>
                <w:highlight w:val="none"/>
                <w:lang w:val="en-US" w:eastAsia="zh-CN"/>
              </w:rPr>
            </w:pPr>
            <w:r>
              <w:rPr>
                <w:rFonts w:hint="eastAsia" w:ascii="仿宋" w:hAnsi="仿宋" w:eastAsia="仿宋" w:cs="仿宋"/>
                <w:color w:val="auto"/>
                <w:highlight w:val="none"/>
                <w:lang w:val="en-US" w:eastAsia="zh-CN"/>
              </w:rPr>
              <w:t>为需要的困境患者提供个案辅导服务，包括但不限于政策咨询、心理辅导、经济救助、出入院适应、出院安置等个案服务。</w:t>
            </w:r>
          </w:p>
        </w:tc>
        <w:tc>
          <w:tcPr>
            <w:tcW w:w="969" w:type="pct"/>
            <w:tcBorders>
              <w:top w:val="single" w:color="000000" w:sz="4" w:space="0"/>
              <w:left w:val="single" w:color="000000" w:sz="4" w:space="0"/>
              <w:right w:val="single" w:color="000000" w:sz="4" w:space="0"/>
            </w:tcBorders>
            <w:noWrap w:val="0"/>
            <w:tcMar>
              <w:top w:w="15" w:type="dxa"/>
              <w:left w:w="15" w:type="dxa"/>
              <w:right w:w="15" w:type="dxa"/>
            </w:tcMar>
            <w:vAlign w:val="center"/>
          </w:tcPr>
          <w:p w14:paraId="143F1D31">
            <w:pPr>
              <w:widowControl/>
              <w:jc w:val="center"/>
              <w:textAlignment w:val="center"/>
              <w:rPr>
                <w:rFonts w:hint="eastAsia" w:ascii="仿宋" w:hAnsi="仿宋" w:eastAsia="仿宋" w:cs="仿宋"/>
                <w:color w:val="auto"/>
                <w:highlight w:val="none"/>
                <w:lang w:eastAsia="zh-CN"/>
              </w:rPr>
            </w:pPr>
            <w:r>
              <w:rPr>
                <w:rFonts w:hint="eastAsia" w:ascii="仿宋" w:hAnsi="仿宋" w:eastAsia="仿宋" w:cs="仿宋"/>
                <w:color w:val="auto"/>
                <w:highlight w:val="none"/>
                <w:lang w:val="en-US" w:eastAsia="zh-CN"/>
              </w:rPr>
              <w:t>个案</w:t>
            </w:r>
          </w:p>
        </w:tc>
        <w:tc>
          <w:tcPr>
            <w:tcW w:w="667" w:type="pc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E111DBC">
            <w:pPr>
              <w:widowControl/>
              <w:jc w:val="center"/>
              <w:textAlignment w:val="center"/>
              <w:rPr>
                <w:rFonts w:hint="default" w:ascii="仿宋" w:hAnsi="仿宋" w:eastAsia="仿宋" w:cs="仿宋"/>
                <w:color w:val="auto"/>
                <w:kern w:val="0"/>
                <w:szCs w:val="21"/>
                <w:highlight w:val="none"/>
                <w:lang w:val="en-US" w:eastAsia="zh-CN" w:bidi="ar"/>
              </w:rPr>
            </w:pPr>
            <w:r>
              <w:rPr>
                <w:rFonts w:hint="eastAsia" w:ascii="仿宋" w:hAnsi="仿宋" w:eastAsia="仿宋" w:cs="仿宋"/>
                <w:color w:val="auto"/>
                <w:kern w:val="0"/>
                <w:szCs w:val="21"/>
                <w:highlight w:val="none"/>
                <w:lang w:val="en-US" w:eastAsia="zh-CN" w:bidi="ar"/>
              </w:rPr>
              <w:t>≥30个</w:t>
            </w:r>
          </w:p>
        </w:tc>
      </w:tr>
      <w:tr w14:paraId="3FA0CD84">
        <w:tblPrEx>
          <w:tblCellMar>
            <w:top w:w="0" w:type="dxa"/>
            <w:left w:w="0" w:type="dxa"/>
            <w:bottom w:w="0" w:type="dxa"/>
            <w:right w:w="0" w:type="dxa"/>
          </w:tblCellMar>
        </w:tblPrEx>
        <w:trPr>
          <w:trHeight w:val="285" w:hRule="atLeast"/>
        </w:trPr>
        <w:tc>
          <w:tcPr>
            <w:tcW w:w="778" w:type="pct"/>
            <w:vMerge w:val="continue"/>
            <w:tcBorders>
              <w:left w:val="single" w:color="000000" w:sz="4" w:space="0"/>
              <w:right w:val="single" w:color="000000" w:sz="4" w:space="0"/>
            </w:tcBorders>
            <w:noWrap w:val="0"/>
            <w:tcMar>
              <w:top w:w="15" w:type="dxa"/>
              <w:left w:w="15" w:type="dxa"/>
              <w:right w:w="15" w:type="dxa"/>
            </w:tcMar>
            <w:vAlign w:val="center"/>
          </w:tcPr>
          <w:p w14:paraId="4FDC19B1">
            <w:pPr>
              <w:widowControl/>
              <w:jc w:val="center"/>
              <w:textAlignment w:val="center"/>
              <w:rPr>
                <w:rFonts w:hint="eastAsia" w:ascii="宋体" w:hAnsi="宋体" w:eastAsia="宋体" w:cs="宋体"/>
                <w:b/>
                <w:color w:val="auto"/>
                <w:kern w:val="0"/>
                <w:sz w:val="24"/>
                <w:szCs w:val="24"/>
                <w:highlight w:val="none"/>
              </w:rPr>
            </w:pPr>
          </w:p>
        </w:tc>
        <w:tc>
          <w:tcPr>
            <w:tcW w:w="643" w:type="pct"/>
            <w:vMerge w:val="continue"/>
            <w:tcBorders>
              <w:left w:val="single" w:color="000000" w:sz="4" w:space="0"/>
              <w:right w:val="single" w:color="000000" w:sz="4" w:space="0"/>
            </w:tcBorders>
            <w:noWrap w:val="0"/>
            <w:tcMar>
              <w:top w:w="15" w:type="dxa"/>
              <w:left w:w="15" w:type="dxa"/>
              <w:right w:w="15" w:type="dxa"/>
            </w:tcMar>
            <w:vAlign w:val="center"/>
          </w:tcPr>
          <w:p w14:paraId="49E166BB">
            <w:pPr>
              <w:widowControl/>
              <w:jc w:val="center"/>
              <w:textAlignment w:val="center"/>
              <w:rPr>
                <w:rFonts w:hint="eastAsia" w:ascii="仿宋" w:hAnsi="仿宋" w:eastAsia="仿宋" w:cs="仿宋"/>
                <w:color w:val="auto"/>
                <w:kern w:val="0"/>
                <w:szCs w:val="21"/>
                <w:highlight w:val="none"/>
                <w:lang w:bidi="ar"/>
              </w:rPr>
            </w:pPr>
          </w:p>
        </w:tc>
        <w:tc>
          <w:tcPr>
            <w:tcW w:w="1941" w:type="pc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204F78B">
            <w:pPr>
              <w:widowControl/>
              <w:jc w:val="center"/>
              <w:textAlignment w:val="center"/>
              <w:rPr>
                <w:rFonts w:hint="eastAsia" w:ascii="仿宋" w:hAnsi="仿宋" w:eastAsia="仿宋" w:cs="仿宋"/>
                <w:color w:val="auto"/>
                <w:kern w:val="0"/>
                <w:szCs w:val="21"/>
                <w:highlight w:val="none"/>
                <w:lang w:bidi="ar"/>
              </w:rPr>
            </w:pPr>
            <w:r>
              <w:rPr>
                <w:rFonts w:hint="eastAsia" w:ascii="仿宋" w:hAnsi="仿宋" w:eastAsia="仿宋" w:cs="仿宋"/>
                <w:color w:val="auto"/>
                <w:szCs w:val="21"/>
                <w:highlight w:val="none"/>
              </w:rPr>
              <w:t>聚焦重点关注人群，以联合查房或者单独查房的方式开展查房</w:t>
            </w:r>
          </w:p>
        </w:tc>
        <w:tc>
          <w:tcPr>
            <w:tcW w:w="969" w:type="pc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2548BC0">
            <w:pPr>
              <w:widowControl/>
              <w:jc w:val="center"/>
              <w:textAlignment w:val="center"/>
              <w:rPr>
                <w:rFonts w:hint="eastAsia" w:ascii="仿宋" w:hAnsi="仿宋" w:eastAsia="仿宋" w:cs="仿宋"/>
                <w:color w:val="auto"/>
                <w:szCs w:val="21"/>
                <w:highlight w:val="none"/>
              </w:rPr>
            </w:pPr>
            <w:r>
              <w:rPr>
                <w:rFonts w:hint="eastAsia" w:ascii="仿宋" w:hAnsi="仿宋" w:eastAsia="仿宋" w:cs="仿宋"/>
                <w:color w:val="auto"/>
                <w:szCs w:val="21"/>
                <w:highlight w:val="none"/>
              </w:rPr>
              <w:t>查房</w:t>
            </w:r>
          </w:p>
        </w:tc>
        <w:tc>
          <w:tcPr>
            <w:tcW w:w="667" w:type="pc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63FACE8">
            <w:pPr>
              <w:widowControl/>
              <w:jc w:val="center"/>
              <w:textAlignment w:val="center"/>
              <w:rPr>
                <w:rFonts w:hint="eastAsia" w:ascii="仿宋" w:hAnsi="仿宋" w:eastAsia="仿宋" w:cs="仿宋"/>
                <w:color w:val="auto"/>
                <w:kern w:val="0"/>
                <w:szCs w:val="21"/>
                <w:highlight w:val="none"/>
                <w:lang w:bidi="ar"/>
              </w:rPr>
            </w:pPr>
            <w:r>
              <w:rPr>
                <w:rFonts w:hint="eastAsia" w:ascii="仿宋" w:hAnsi="仿宋" w:eastAsia="仿宋" w:cs="仿宋"/>
                <w:color w:val="auto"/>
                <w:kern w:val="0"/>
                <w:szCs w:val="21"/>
                <w:highlight w:val="none"/>
                <w:lang w:bidi="ar"/>
              </w:rPr>
              <w:t>≥</w:t>
            </w:r>
            <w:r>
              <w:rPr>
                <w:rFonts w:hint="eastAsia" w:ascii="仿宋" w:hAnsi="仿宋" w:eastAsia="仿宋" w:cs="仿宋"/>
                <w:color w:val="auto"/>
                <w:kern w:val="0"/>
                <w:szCs w:val="21"/>
                <w:highlight w:val="none"/>
                <w:lang w:val="en-US" w:eastAsia="zh-CN" w:bidi="ar"/>
              </w:rPr>
              <w:t>6</w:t>
            </w:r>
            <w:r>
              <w:rPr>
                <w:rFonts w:ascii="仿宋" w:hAnsi="仿宋" w:eastAsia="仿宋" w:cs="仿宋"/>
                <w:color w:val="auto"/>
                <w:kern w:val="0"/>
                <w:szCs w:val="21"/>
                <w:highlight w:val="none"/>
                <w:lang w:bidi="ar"/>
              </w:rPr>
              <w:t>0</w:t>
            </w:r>
            <w:r>
              <w:rPr>
                <w:rFonts w:hint="eastAsia" w:ascii="仿宋" w:hAnsi="仿宋" w:eastAsia="仿宋" w:cs="仿宋"/>
                <w:color w:val="auto"/>
                <w:kern w:val="0"/>
                <w:szCs w:val="21"/>
                <w:highlight w:val="none"/>
                <w:lang w:bidi="ar"/>
              </w:rPr>
              <w:t>次</w:t>
            </w:r>
          </w:p>
        </w:tc>
      </w:tr>
      <w:tr w14:paraId="0C50E7C1">
        <w:tblPrEx>
          <w:tblCellMar>
            <w:top w:w="0" w:type="dxa"/>
            <w:left w:w="0" w:type="dxa"/>
            <w:bottom w:w="0" w:type="dxa"/>
            <w:right w:w="0" w:type="dxa"/>
          </w:tblCellMar>
        </w:tblPrEx>
        <w:trPr>
          <w:trHeight w:val="285" w:hRule="atLeast"/>
        </w:trPr>
        <w:tc>
          <w:tcPr>
            <w:tcW w:w="778" w:type="pct"/>
            <w:vMerge w:val="continue"/>
            <w:tcBorders>
              <w:left w:val="single" w:color="000000" w:sz="4" w:space="0"/>
              <w:right w:val="single" w:color="000000" w:sz="4" w:space="0"/>
            </w:tcBorders>
            <w:noWrap w:val="0"/>
            <w:tcMar>
              <w:top w:w="15" w:type="dxa"/>
              <w:left w:w="15" w:type="dxa"/>
              <w:right w:w="15" w:type="dxa"/>
            </w:tcMar>
            <w:vAlign w:val="center"/>
          </w:tcPr>
          <w:p w14:paraId="74B48B65">
            <w:pPr>
              <w:widowControl/>
              <w:jc w:val="center"/>
              <w:textAlignment w:val="center"/>
              <w:rPr>
                <w:rFonts w:hint="eastAsia" w:ascii="宋体" w:hAnsi="宋体" w:eastAsia="宋体" w:cs="宋体"/>
                <w:b/>
                <w:color w:val="auto"/>
                <w:kern w:val="0"/>
                <w:sz w:val="24"/>
                <w:szCs w:val="24"/>
                <w:highlight w:val="none"/>
              </w:rPr>
            </w:pPr>
          </w:p>
        </w:tc>
        <w:tc>
          <w:tcPr>
            <w:tcW w:w="643" w:type="pct"/>
            <w:vMerge w:val="continue"/>
            <w:tcBorders>
              <w:left w:val="single" w:color="000000" w:sz="4" w:space="0"/>
              <w:right w:val="single" w:color="000000" w:sz="4" w:space="0"/>
            </w:tcBorders>
            <w:noWrap w:val="0"/>
            <w:tcMar>
              <w:top w:w="15" w:type="dxa"/>
              <w:left w:w="15" w:type="dxa"/>
              <w:right w:w="15" w:type="dxa"/>
            </w:tcMar>
            <w:vAlign w:val="center"/>
          </w:tcPr>
          <w:p w14:paraId="7A32FBDB">
            <w:pPr>
              <w:widowControl/>
              <w:jc w:val="center"/>
              <w:textAlignment w:val="center"/>
              <w:rPr>
                <w:rFonts w:hint="eastAsia" w:ascii="仿宋" w:hAnsi="仿宋" w:eastAsia="仿宋" w:cs="仿宋"/>
                <w:color w:val="auto"/>
                <w:kern w:val="0"/>
                <w:szCs w:val="21"/>
                <w:highlight w:val="none"/>
                <w:lang w:bidi="ar"/>
              </w:rPr>
            </w:pPr>
          </w:p>
        </w:tc>
        <w:tc>
          <w:tcPr>
            <w:tcW w:w="1941" w:type="pct"/>
            <w:tcBorders>
              <w:top w:val="single" w:color="000000" w:sz="4" w:space="0"/>
              <w:left w:val="single" w:color="000000" w:sz="4" w:space="0"/>
              <w:bottom w:val="single" w:color="000000" w:sz="4" w:space="0"/>
              <w:right w:val="single" w:color="000000" w:sz="4" w:space="0"/>
            </w:tcBorders>
            <w:shd w:val="clear" w:color="auto" w:fill="auto"/>
            <w:noWrap w:val="0"/>
            <w:tcMar>
              <w:top w:w="15" w:type="dxa"/>
              <w:left w:w="15" w:type="dxa"/>
              <w:right w:w="15" w:type="dxa"/>
            </w:tcMar>
            <w:vAlign w:val="center"/>
          </w:tcPr>
          <w:p w14:paraId="39A2341F">
            <w:pPr>
              <w:widowControl/>
              <w:jc w:val="center"/>
              <w:textAlignment w:val="center"/>
              <w:rPr>
                <w:rFonts w:hint="default" w:ascii="仿宋" w:hAnsi="仿宋" w:eastAsia="仿宋" w:cs="仿宋"/>
                <w:color w:val="auto"/>
                <w:kern w:val="2"/>
                <w:sz w:val="21"/>
                <w:szCs w:val="21"/>
                <w:highlight w:val="none"/>
                <w:lang w:val="en-US" w:eastAsia="zh-CN" w:bidi="ar-SA"/>
              </w:rPr>
            </w:pPr>
            <w:r>
              <w:rPr>
                <w:rFonts w:hint="eastAsia" w:ascii="仿宋" w:hAnsi="仿宋" w:eastAsia="仿宋" w:cs="仿宋"/>
                <w:color w:val="auto"/>
                <w:highlight w:val="none"/>
              </w:rPr>
              <w:t>联动专业医护力量结合重点科室患者特点，</w:t>
            </w:r>
            <w:r>
              <w:rPr>
                <w:rFonts w:hint="eastAsia" w:ascii="仿宋" w:hAnsi="仿宋" w:eastAsia="仿宋" w:cs="仿宋"/>
                <w:color w:val="auto"/>
                <w:highlight w:val="none"/>
                <w:lang w:val="en-US" w:eastAsia="zh-CN"/>
              </w:rPr>
              <w:t>以艺术疗愈等方式开展科室人文关怀活动。</w:t>
            </w:r>
          </w:p>
        </w:tc>
        <w:tc>
          <w:tcPr>
            <w:tcW w:w="969" w:type="pct"/>
            <w:tcBorders>
              <w:top w:val="single" w:color="000000" w:sz="4" w:space="0"/>
              <w:left w:val="single" w:color="000000" w:sz="4" w:space="0"/>
              <w:bottom w:val="single" w:color="000000" w:sz="4" w:space="0"/>
              <w:right w:val="single" w:color="000000" w:sz="4" w:space="0"/>
            </w:tcBorders>
            <w:shd w:val="clear" w:color="auto" w:fill="auto"/>
            <w:noWrap w:val="0"/>
            <w:tcMar>
              <w:top w:w="15" w:type="dxa"/>
              <w:left w:w="15" w:type="dxa"/>
              <w:right w:w="15" w:type="dxa"/>
            </w:tcMar>
            <w:vAlign w:val="center"/>
          </w:tcPr>
          <w:p w14:paraId="24CF8A9C">
            <w:pPr>
              <w:widowControl/>
              <w:jc w:val="center"/>
              <w:textAlignment w:val="center"/>
              <w:rPr>
                <w:rFonts w:hint="default" w:ascii="仿宋" w:hAnsi="仿宋" w:eastAsia="仿宋" w:cs="仿宋"/>
                <w:color w:val="auto"/>
                <w:kern w:val="2"/>
                <w:sz w:val="21"/>
                <w:szCs w:val="21"/>
                <w:highlight w:val="none"/>
                <w:lang w:val="en-US" w:eastAsia="zh-CN" w:bidi="ar-SA"/>
              </w:rPr>
            </w:pPr>
            <w:r>
              <w:rPr>
                <w:rFonts w:hint="eastAsia" w:ascii="仿宋" w:hAnsi="仿宋" w:eastAsia="仿宋" w:cs="仿宋"/>
                <w:color w:val="auto"/>
                <w:highlight w:val="none"/>
                <w:lang w:val="en-US" w:eastAsia="zh-CN"/>
              </w:rPr>
              <w:t>活动</w:t>
            </w:r>
          </w:p>
        </w:tc>
        <w:tc>
          <w:tcPr>
            <w:tcW w:w="667" w:type="pct"/>
            <w:tcBorders>
              <w:top w:val="single" w:color="000000" w:sz="4" w:space="0"/>
              <w:left w:val="single" w:color="000000" w:sz="4" w:space="0"/>
              <w:bottom w:val="single" w:color="000000" w:sz="4" w:space="0"/>
              <w:right w:val="single" w:color="000000" w:sz="4" w:space="0"/>
            </w:tcBorders>
            <w:shd w:val="clear" w:color="auto" w:fill="auto"/>
            <w:noWrap w:val="0"/>
            <w:tcMar>
              <w:top w:w="15" w:type="dxa"/>
              <w:left w:w="15" w:type="dxa"/>
              <w:right w:w="15" w:type="dxa"/>
            </w:tcMar>
            <w:vAlign w:val="center"/>
          </w:tcPr>
          <w:p w14:paraId="6EAA25EA">
            <w:pPr>
              <w:widowControl/>
              <w:jc w:val="center"/>
              <w:textAlignment w:val="center"/>
              <w:rPr>
                <w:rFonts w:hint="default" w:ascii="仿宋" w:hAnsi="仿宋" w:eastAsia="仿宋" w:cs="仿宋"/>
                <w:color w:val="auto"/>
                <w:kern w:val="0"/>
                <w:sz w:val="21"/>
                <w:szCs w:val="21"/>
                <w:highlight w:val="none"/>
                <w:lang w:val="en-US" w:eastAsia="zh-CN" w:bidi="ar-SA"/>
              </w:rPr>
            </w:pPr>
            <w:r>
              <w:rPr>
                <w:rFonts w:hint="eastAsia" w:ascii="仿宋" w:hAnsi="仿宋" w:eastAsia="仿宋" w:cs="仿宋"/>
                <w:color w:val="auto"/>
                <w:kern w:val="0"/>
                <w:szCs w:val="21"/>
                <w:highlight w:val="none"/>
              </w:rPr>
              <w:t>≧</w:t>
            </w:r>
            <w:r>
              <w:rPr>
                <w:rFonts w:hint="eastAsia" w:ascii="仿宋" w:hAnsi="仿宋" w:eastAsia="仿宋" w:cs="仿宋"/>
                <w:color w:val="auto"/>
                <w:kern w:val="0"/>
                <w:sz w:val="21"/>
                <w:szCs w:val="21"/>
                <w:highlight w:val="none"/>
                <w:lang w:val="en-US" w:eastAsia="zh-CN" w:bidi="ar"/>
              </w:rPr>
              <w:t>3场</w:t>
            </w:r>
          </w:p>
        </w:tc>
      </w:tr>
      <w:tr w14:paraId="58F59113">
        <w:tblPrEx>
          <w:tblCellMar>
            <w:top w:w="0" w:type="dxa"/>
            <w:left w:w="0" w:type="dxa"/>
            <w:bottom w:w="0" w:type="dxa"/>
            <w:right w:w="0" w:type="dxa"/>
          </w:tblCellMar>
        </w:tblPrEx>
        <w:trPr>
          <w:trHeight w:val="1080" w:hRule="atLeast"/>
        </w:trPr>
        <w:tc>
          <w:tcPr>
            <w:tcW w:w="778" w:type="pct"/>
            <w:vMerge w:val="restart"/>
            <w:tcBorders>
              <w:top w:val="single" w:color="auto" w:sz="4" w:space="0"/>
              <w:left w:val="single" w:color="000000" w:sz="4" w:space="0"/>
              <w:right w:val="single" w:color="auto" w:sz="4" w:space="0"/>
            </w:tcBorders>
            <w:noWrap w:val="0"/>
            <w:tcMar>
              <w:top w:w="15" w:type="dxa"/>
              <w:left w:w="15" w:type="dxa"/>
              <w:right w:w="15" w:type="dxa"/>
            </w:tcMar>
            <w:vAlign w:val="center"/>
          </w:tcPr>
          <w:p w14:paraId="4AEEDE63">
            <w:pPr>
              <w:widowControl/>
              <w:jc w:val="center"/>
              <w:textAlignment w:val="center"/>
              <w:rPr>
                <w:rFonts w:hint="default" w:ascii="宋体" w:hAnsi="宋体" w:eastAsia="宋体" w:cs="宋体"/>
                <w:color w:val="auto"/>
                <w:sz w:val="24"/>
                <w:szCs w:val="24"/>
                <w:highlight w:val="none"/>
                <w:lang w:val="en-US"/>
              </w:rPr>
            </w:pPr>
            <w:r>
              <w:rPr>
                <w:rFonts w:hint="eastAsia" w:ascii="宋体" w:hAnsi="宋体" w:eastAsia="宋体" w:cs="宋体"/>
                <w:b/>
                <w:color w:val="auto"/>
                <w:sz w:val="24"/>
                <w:szCs w:val="24"/>
                <w:highlight w:val="none"/>
                <w:lang w:val="en-US" w:eastAsia="zh-CN"/>
              </w:rPr>
              <w:t>志愿服务管理</w:t>
            </w:r>
          </w:p>
        </w:tc>
        <w:tc>
          <w:tcPr>
            <w:tcW w:w="643" w:type="pct"/>
            <w:vMerge w:val="restart"/>
            <w:tcBorders>
              <w:top w:val="single" w:color="auto" w:sz="4" w:space="0"/>
              <w:left w:val="single" w:color="auto" w:sz="4" w:space="0"/>
              <w:bottom w:val="single" w:color="auto" w:sz="4" w:space="0"/>
              <w:right w:val="single" w:color="auto" w:sz="4" w:space="0"/>
            </w:tcBorders>
            <w:noWrap w:val="0"/>
            <w:tcMar>
              <w:top w:w="15" w:type="dxa"/>
              <w:left w:w="15" w:type="dxa"/>
              <w:right w:w="15" w:type="dxa"/>
            </w:tcMar>
            <w:vAlign w:val="center"/>
          </w:tcPr>
          <w:p w14:paraId="3C737183">
            <w:pPr>
              <w:widowControl/>
              <w:jc w:val="center"/>
              <w:textAlignment w:val="center"/>
              <w:rPr>
                <w:rFonts w:hint="eastAsia" w:ascii="仿宋" w:hAnsi="仿宋" w:eastAsia="仿宋" w:cs="仿宋"/>
                <w:color w:val="auto"/>
                <w:szCs w:val="21"/>
                <w:highlight w:val="none"/>
              </w:rPr>
            </w:pPr>
            <w:r>
              <w:rPr>
                <w:rFonts w:hint="eastAsia" w:ascii="仿宋" w:hAnsi="仿宋" w:eastAsia="仿宋" w:cs="仿宋"/>
                <w:color w:val="auto"/>
                <w:kern w:val="0"/>
                <w:szCs w:val="21"/>
                <w:highlight w:val="none"/>
              </w:rPr>
              <w:t>培育发展志愿服务队，</w:t>
            </w:r>
            <w:r>
              <w:rPr>
                <w:rFonts w:hint="eastAsia" w:ascii="仿宋" w:hAnsi="仿宋" w:eastAsia="仿宋" w:cs="仿宋"/>
                <w:color w:val="auto"/>
                <w:kern w:val="0"/>
                <w:szCs w:val="21"/>
                <w:highlight w:val="none"/>
                <w:lang w:val="en-US" w:eastAsia="zh-CN"/>
              </w:rPr>
              <w:t>落实</w:t>
            </w:r>
            <w:r>
              <w:rPr>
                <w:rFonts w:hint="eastAsia" w:ascii="仿宋" w:hAnsi="仿宋" w:eastAsia="仿宋" w:cs="仿宋"/>
                <w:color w:val="auto"/>
                <w:kern w:val="0"/>
                <w:szCs w:val="21"/>
                <w:highlight w:val="none"/>
              </w:rPr>
              <w:t>志愿者激励制度。</w:t>
            </w:r>
          </w:p>
        </w:tc>
        <w:tc>
          <w:tcPr>
            <w:tcW w:w="1941" w:type="pct"/>
            <w:tcBorders>
              <w:top w:val="single" w:color="auto" w:sz="4" w:space="0"/>
              <w:left w:val="single" w:color="auto" w:sz="4" w:space="0"/>
              <w:bottom w:val="single" w:color="auto" w:sz="4" w:space="0"/>
              <w:right w:val="single" w:color="auto" w:sz="4" w:space="0"/>
            </w:tcBorders>
            <w:noWrap w:val="0"/>
            <w:tcMar>
              <w:top w:w="15" w:type="dxa"/>
              <w:left w:w="15" w:type="dxa"/>
              <w:right w:w="15" w:type="dxa"/>
            </w:tcMar>
            <w:vAlign w:val="center"/>
          </w:tcPr>
          <w:p w14:paraId="38A4C5B1">
            <w:pPr>
              <w:widowControl/>
              <w:jc w:val="center"/>
              <w:textAlignment w:val="center"/>
              <w:rPr>
                <w:rFonts w:hint="eastAsia" w:ascii="仿宋" w:hAnsi="仿宋" w:eastAsia="仿宋" w:cs="仿宋"/>
                <w:color w:val="auto"/>
                <w:szCs w:val="21"/>
                <w:highlight w:val="none"/>
              </w:rPr>
            </w:pPr>
            <w:r>
              <w:rPr>
                <w:rFonts w:hint="eastAsia" w:ascii="仿宋" w:hAnsi="仿宋" w:eastAsia="仿宋" w:cs="仿宋"/>
                <w:color w:val="auto"/>
                <w:kern w:val="0"/>
                <w:szCs w:val="21"/>
                <w:highlight w:val="none"/>
              </w:rPr>
              <w:t>协助整合医院的志愿者服务队，吸纳医护志愿者、特色高校/企业志愿者等参与。</w:t>
            </w:r>
          </w:p>
        </w:tc>
        <w:tc>
          <w:tcPr>
            <w:tcW w:w="969" w:type="pct"/>
            <w:tcBorders>
              <w:top w:val="single" w:color="000000" w:sz="4" w:space="0"/>
              <w:left w:val="single" w:color="auto" w:sz="4" w:space="0"/>
              <w:bottom w:val="single" w:color="000000" w:sz="4" w:space="0"/>
              <w:right w:val="single" w:color="000000" w:sz="4" w:space="0"/>
            </w:tcBorders>
            <w:noWrap w:val="0"/>
            <w:tcMar>
              <w:top w:w="15" w:type="dxa"/>
              <w:left w:w="15" w:type="dxa"/>
              <w:right w:w="15" w:type="dxa"/>
            </w:tcMar>
            <w:vAlign w:val="center"/>
          </w:tcPr>
          <w:p w14:paraId="0955557C">
            <w:pPr>
              <w:widowControl/>
              <w:jc w:val="center"/>
              <w:textAlignment w:val="center"/>
              <w:rPr>
                <w:rFonts w:hint="eastAsia" w:ascii="仿宋" w:hAnsi="仿宋" w:eastAsia="仿宋" w:cs="仿宋"/>
                <w:color w:val="auto"/>
                <w:szCs w:val="21"/>
                <w:highlight w:val="none"/>
              </w:rPr>
            </w:pPr>
            <w:r>
              <w:rPr>
                <w:rFonts w:hint="eastAsia" w:ascii="仿宋" w:hAnsi="仿宋" w:eastAsia="仿宋" w:cs="仿宋"/>
                <w:color w:val="auto"/>
                <w:kern w:val="0"/>
                <w:szCs w:val="21"/>
                <w:highlight w:val="none"/>
              </w:rPr>
              <w:t>新增志愿者</w:t>
            </w:r>
          </w:p>
        </w:tc>
        <w:tc>
          <w:tcPr>
            <w:tcW w:w="667" w:type="pc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D5EF198">
            <w:pPr>
              <w:widowControl/>
              <w:jc w:val="center"/>
              <w:textAlignment w:val="center"/>
              <w:rPr>
                <w:rFonts w:hint="eastAsia" w:ascii="仿宋" w:hAnsi="仿宋" w:eastAsia="仿宋" w:cs="仿宋"/>
                <w:color w:val="auto"/>
                <w:szCs w:val="21"/>
                <w:highlight w:val="none"/>
              </w:rPr>
            </w:pPr>
            <w:r>
              <w:rPr>
                <w:rFonts w:hint="eastAsia" w:ascii="仿宋" w:hAnsi="仿宋" w:eastAsia="仿宋" w:cs="仿宋"/>
                <w:color w:val="auto"/>
                <w:szCs w:val="21"/>
                <w:highlight w:val="none"/>
              </w:rPr>
              <w:t>≥</w:t>
            </w:r>
            <w:r>
              <w:rPr>
                <w:rFonts w:hint="eastAsia" w:ascii="仿宋" w:hAnsi="仿宋" w:eastAsia="仿宋" w:cs="仿宋"/>
                <w:color w:val="auto"/>
                <w:szCs w:val="21"/>
                <w:highlight w:val="none"/>
                <w:lang w:val="en-US" w:eastAsia="zh-CN"/>
              </w:rPr>
              <w:t>50</w:t>
            </w:r>
            <w:r>
              <w:rPr>
                <w:rFonts w:hint="eastAsia" w:ascii="仿宋" w:hAnsi="仿宋" w:eastAsia="仿宋" w:cs="仿宋"/>
                <w:color w:val="auto"/>
                <w:szCs w:val="21"/>
                <w:highlight w:val="none"/>
              </w:rPr>
              <w:t>人</w:t>
            </w:r>
          </w:p>
        </w:tc>
      </w:tr>
      <w:tr w14:paraId="73324E84">
        <w:tblPrEx>
          <w:tblCellMar>
            <w:top w:w="0" w:type="dxa"/>
            <w:left w:w="0" w:type="dxa"/>
            <w:bottom w:w="0" w:type="dxa"/>
            <w:right w:w="0" w:type="dxa"/>
          </w:tblCellMar>
        </w:tblPrEx>
        <w:trPr>
          <w:trHeight w:val="1080" w:hRule="atLeast"/>
        </w:trPr>
        <w:tc>
          <w:tcPr>
            <w:tcW w:w="778" w:type="pct"/>
            <w:vMerge w:val="continue"/>
            <w:tcBorders>
              <w:left w:val="single" w:color="000000" w:sz="4" w:space="0"/>
              <w:right w:val="single" w:color="auto" w:sz="4" w:space="0"/>
            </w:tcBorders>
            <w:noWrap w:val="0"/>
            <w:tcMar>
              <w:top w:w="15" w:type="dxa"/>
              <w:left w:w="15" w:type="dxa"/>
              <w:right w:w="15" w:type="dxa"/>
            </w:tcMar>
            <w:vAlign w:val="center"/>
          </w:tcPr>
          <w:p w14:paraId="05416927">
            <w:pPr>
              <w:jc w:val="center"/>
              <w:rPr>
                <w:rFonts w:hint="eastAsia" w:ascii="仿宋" w:hAnsi="仿宋" w:eastAsia="仿宋" w:cs="仿宋"/>
                <w:color w:val="auto"/>
                <w:szCs w:val="21"/>
                <w:highlight w:val="none"/>
              </w:rPr>
            </w:pPr>
          </w:p>
        </w:tc>
        <w:tc>
          <w:tcPr>
            <w:tcW w:w="643" w:type="pct"/>
            <w:vMerge w:val="continue"/>
            <w:tcBorders>
              <w:top w:val="single" w:color="auto" w:sz="4" w:space="0"/>
              <w:left w:val="single" w:color="auto" w:sz="4" w:space="0"/>
              <w:bottom w:val="single" w:color="auto" w:sz="4" w:space="0"/>
              <w:right w:val="single" w:color="auto" w:sz="4" w:space="0"/>
            </w:tcBorders>
            <w:noWrap w:val="0"/>
            <w:tcMar>
              <w:top w:w="15" w:type="dxa"/>
              <w:left w:w="15" w:type="dxa"/>
              <w:right w:w="15" w:type="dxa"/>
            </w:tcMar>
            <w:vAlign w:val="center"/>
          </w:tcPr>
          <w:p w14:paraId="2EDE0DDD">
            <w:pPr>
              <w:jc w:val="center"/>
              <w:rPr>
                <w:rFonts w:hint="eastAsia" w:ascii="仿宋" w:hAnsi="仿宋" w:eastAsia="仿宋" w:cs="仿宋"/>
                <w:color w:val="auto"/>
                <w:szCs w:val="21"/>
                <w:highlight w:val="none"/>
              </w:rPr>
            </w:pPr>
          </w:p>
        </w:tc>
        <w:tc>
          <w:tcPr>
            <w:tcW w:w="1941" w:type="pct"/>
            <w:tcBorders>
              <w:top w:val="single" w:color="auto" w:sz="4" w:space="0"/>
              <w:left w:val="single" w:color="auto" w:sz="4" w:space="0"/>
              <w:bottom w:val="single" w:color="auto" w:sz="4" w:space="0"/>
              <w:right w:val="single" w:color="auto" w:sz="4" w:space="0"/>
            </w:tcBorders>
            <w:noWrap w:val="0"/>
            <w:tcMar>
              <w:top w:w="15" w:type="dxa"/>
              <w:left w:w="15" w:type="dxa"/>
              <w:right w:w="15" w:type="dxa"/>
            </w:tcMar>
            <w:vAlign w:val="center"/>
          </w:tcPr>
          <w:p w14:paraId="43A1C1D9">
            <w:pPr>
              <w:widowControl/>
              <w:jc w:val="center"/>
              <w:textAlignment w:val="center"/>
              <w:rPr>
                <w:rFonts w:hint="eastAsia" w:ascii="仿宋" w:hAnsi="仿宋" w:eastAsia="仿宋" w:cs="仿宋"/>
                <w:color w:val="auto"/>
                <w:szCs w:val="21"/>
                <w:highlight w:val="none"/>
              </w:rPr>
            </w:pPr>
            <w:r>
              <w:rPr>
                <w:rFonts w:hint="eastAsia" w:ascii="仿宋" w:hAnsi="仿宋" w:eastAsia="仿宋" w:cs="仿宋"/>
                <w:color w:val="auto"/>
                <w:kern w:val="0"/>
                <w:szCs w:val="21"/>
                <w:highlight w:val="none"/>
              </w:rPr>
              <w:t>为有志长期在医院开展志愿服务的成员提供志愿者相关培训，提升志愿者参与服务的技能</w:t>
            </w:r>
            <w:r>
              <w:rPr>
                <w:rFonts w:hint="eastAsia" w:ascii="仿宋" w:hAnsi="仿宋" w:eastAsia="仿宋" w:cs="仿宋"/>
                <w:color w:val="auto"/>
                <w:kern w:val="0"/>
                <w:szCs w:val="21"/>
                <w:highlight w:val="none"/>
                <w:lang w:eastAsia="zh-CN"/>
              </w:rPr>
              <w:t>，</w:t>
            </w:r>
            <w:r>
              <w:rPr>
                <w:rFonts w:hint="eastAsia" w:ascii="仿宋" w:hAnsi="仿宋" w:eastAsia="仿宋" w:cs="仿宋"/>
                <w:color w:val="auto"/>
                <w:kern w:val="0"/>
                <w:szCs w:val="21"/>
                <w:highlight w:val="none"/>
              </w:rPr>
              <w:t>为志愿者定期开展团建及激励活动，提升团队凝聚力</w:t>
            </w:r>
          </w:p>
        </w:tc>
        <w:tc>
          <w:tcPr>
            <w:tcW w:w="969" w:type="pct"/>
            <w:tcBorders>
              <w:top w:val="single" w:color="000000" w:sz="4" w:space="0"/>
              <w:left w:val="single" w:color="auto" w:sz="4" w:space="0"/>
              <w:bottom w:val="single" w:color="000000" w:sz="4" w:space="0"/>
              <w:right w:val="single" w:color="000000" w:sz="4" w:space="0"/>
            </w:tcBorders>
            <w:noWrap w:val="0"/>
            <w:tcMar>
              <w:top w:w="15" w:type="dxa"/>
              <w:left w:w="15" w:type="dxa"/>
              <w:right w:w="15" w:type="dxa"/>
            </w:tcMar>
            <w:vAlign w:val="center"/>
          </w:tcPr>
          <w:p w14:paraId="01AC5103">
            <w:pPr>
              <w:widowControl/>
              <w:jc w:val="center"/>
              <w:textAlignment w:val="center"/>
              <w:rPr>
                <w:rFonts w:hint="default" w:ascii="仿宋" w:hAnsi="仿宋" w:eastAsia="仿宋" w:cs="仿宋"/>
                <w:color w:val="auto"/>
                <w:szCs w:val="21"/>
                <w:highlight w:val="none"/>
                <w:lang w:val="en-US" w:eastAsia="zh-CN"/>
              </w:rPr>
            </w:pPr>
            <w:r>
              <w:rPr>
                <w:rFonts w:hint="eastAsia" w:ascii="仿宋" w:hAnsi="仿宋" w:eastAsia="仿宋" w:cs="仿宋"/>
                <w:color w:val="auto"/>
                <w:szCs w:val="21"/>
                <w:highlight w:val="none"/>
                <w:lang w:val="en-US" w:eastAsia="zh-CN"/>
              </w:rPr>
              <w:t>活动</w:t>
            </w:r>
          </w:p>
        </w:tc>
        <w:tc>
          <w:tcPr>
            <w:tcW w:w="667" w:type="pc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89B7966">
            <w:pPr>
              <w:widowControl/>
              <w:jc w:val="center"/>
              <w:textAlignment w:val="center"/>
              <w:rPr>
                <w:rFonts w:hint="eastAsia" w:ascii="仿宋" w:hAnsi="仿宋" w:eastAsia="仿宋" w:cs="仿宋"/>
                <w:color w:val="auto"/>
                <w:szCs w:val="21"/>
                <w:highlight w:val="none"/>
              </w:rPr>
            </w:pPr>
            <w:r>
              <w:rPr>
                <w:rFonts w:hint="eastAsia" w:ascii="仿宋" w:hAnsi="仿宋" w:eastAsia="仿宋" w:cs="仿宋"/>
                <w:color w:val="auto"/>
                <w:kern w:val="0"/>
                <w:szCs w:val="21"/>
                <w:highlight w:val="none"/>
              </w:rPr>
              <w:t>≧</w:t>
            </w:r>
            <w:r>
              <w:rPr>
                <w:rFonts w:hint="eastAsia" w:ascii="仿宋" w:hAnsi="仿宋" w:eastAsia="仿宋" w:cs="仿宋"/>
                <w:color w:val="auto"/>
                <w:kern w:val="0"/>
                <w:szCs w:val="21"/>
                <w:highlight w:val="none"/>
                <w:lang w:val="en-US" w:eastAsia="zh-CN"/>
              </w:rPr>
              <w:t>2</w:t>
            </w:r>
            <w:r>
              <w:rPr>
                <w:rFonts w:hint="eastAsia" w:ascii="仿宋" w:hAnsi="仿宋" w:eastAsia="仿宋" w:cs="仿宋"/>
                <w:color w:val="auto"/>
                <w:kern w:val="0"/>
                <w:szCs w:val="21"/>
                <w:highlight w:val="none"/>
              </w:rPr>
              <w:t>场</w:t>
            </w:r>
          </w:p>
        </w:tc>
      </w:tr>
      <w:tr w14:paraId="461BB8A3">
        <w:tblPrEx>
          <w:tblCellMar>
            <w:top w:w="0" w:type="dxa"/>
            <w:left w:w="0" w:type="dxa"/>
            <w:bottom w:w="0" w:type="dxa"/>
            <w:right w:w="0" w:type="dxa"/>
          </w:tblCellMar>
        </w:tblPrEx>
        <w:trPr>
          <w:trHeight w:val="90" w:hRule="atLeast"/>
        </w:trPr>
        <w:tc>
          <w:tcPr>
            <w:tcW w:w="778" w:type="pct"/>
            <w:vMerge w:val="continue"/>
            <w:tcBorders>
              <w:left w:val="single" w:color="000000" w:sz="4" w:space="0"/>
              <w:right w:val="single" w:color="auto" w:sz="4" w:space="0"/>
            </w:tcBorders>
            <w:noWrap w:val="0"/>
            <w:tcMar>
              <w:top w:w="15" w:type="dxa"/>
              <w:left w:w="15" w:type="dxa"/>
              <w:right w:w="15" w:type="dxa"/>
            </w:tcMar>
            <w:vAlign w:val="center"/>
          </w:tcPr>
          <w:p w14:paraId="051CA0CA">
            <w:pPr>
              <w:jc w:val="center"/>
              <w:rPr>
                <w:rFonts w:hint="eastAsia" w:ascii="仿宋" w:hAnsi="仿宋" w:eastAsia="仿宋" w:cs="仿宋"/>
                <w:color w:val="auto"/>
                <w:szCs w:val="21"/>
                <w:highlight w:val="none"/>
              </w:rPr>
            </w:pPr>
          </w:p>
        </w:tc>
        <w:tc>
          <w:tcPr>
            <w:tcW w:w="643" w:type="pct"/>
            <w:tcBorders>
              <w:top w:val="single" w:color="auto" w:sz="4" w:space="0"/>
              <w:left w:val="single" w:color="auto" w:sz="4" w:space="0"/>
              <w:bottom w:val="single" w:color="auto" w:sz="4" w:space="0"/>
              <w:right w:val="single" w:color="auto" w:sz="4" w:space="0"/>
            </w:tcBorders>
            <w:noWrap w:val="0"/>
            <w:tcMar>
              <w:top w:w="15" w:type="dxa"/>
              <w:left w:w="15" w:type="dxa"/>
              <w:right w:w="15" w:type="dxa"/>
            </w:tcMar>
            <w:vAlign w:val="center"/>
          </w:tcPr>
          <w:p w14:paraId="7EF22E30">
            <w:pPr>
              <w:widowControl/>
              <w:jc w:val="center"/>
              <w:textAlignment w:val="center"/>
              <w:rPr>
                <w:rFonts w:hint="default" w:ascii="仿宋" w:hAnsi="仿宋" w:eastAsia="仿宋" w:cs="仿宋"/>
                <w:color w:val="auto"/>
                <w:szCs w:val="21"/>
                <w:highlight w:val="none"/>
                <w:lang w:val="en-US" w:eastAsia="zh-CN"/>
              </w:rPr>
            </w:pPr>
            <w:r>
              <w:rPr>
                <w:rFonts w:hint="eastAsia" w:ascii="仿宋" w:hAnsi="仿宋" w:eastAsia="仿宋" w:cs="仿宋"/>
                <w:color w:val="auto"/>
                <w:kern w:val="0"/>
                <w:szCs w:val="21"/>
                <w:highlight w:val="none"/>
                <w:lang w:val="en-US" w:eastAsia="zh-CN"/>
              </w:rPr>
              <w:t>恒常志愿服务推进</w:t>
            </w:r>
          </w:p>
        </w:tc>
        <w:tc>
          <w:tcPr>
            <w:tcW w:w="1941" w:type="pct"/>
            <w:tcBorders>
              <w:top w:val="single" w:color="auto" w:sz="4" w:space="0"/>
              <w:left w:val="single" w:color="auto" w:sz="4" w:space="0"/>
              <w:bottom w:val="single" w:color="auto" w:sz="4" w:space="0"/>
              <w:right w:val="single" w:color="auto" w:sz="4" w:space="0"/>
            </w:tcBorders>
            <w:noWrap w:val="0"/>
            <w:tcMar>
              <w:top w:w="15" w:type="dxa"/>
              <w:left w:w="15" w:type="dxa"/>
              <w:right w:w="15" w:type="dxa"/>
            </w:tcMar>
            <w:vAlign w:val="center"/>
          </w:tcPr>
          <w:p w14:paraId="00B3D253">
            <w:pPr>
              <w:widowControl/>
              <w:jc w:val="center"/>
              <w:textAlignment w:val="center"/>
              <w:rPr>
                <w:rFonts w:hint="default" w:ascii="仿宋" w:hAnsi="仿宋" w:eastAsia="仿宋" w:cs="仿宋"/>
                <w:color w:val="auto"/>
                <w:kern w:val="0"/>
                <w:szCs w:val="21"/>
                <w:highlight w:val="none"/>
                <w:lang w:val="en-US" w:eastAsia="zh-CN"/>
              </w:rPr>
            </w:pPr>
            <w:r>
              <w:rPr>
                <w:rFonts w:hint="eastAsia" w:ascii="仿宋" w:hAnsi="仿宋" w:eastAsia="仿宋" w:cs="仿宋"/>
                <w:color w:val="auto"/>
                <w:kern w:val="0"/>
                <w:szCs w:val="21"/>
                <w:highlight w:val="none"/>
              </w:rPr>
              <w:t>结合医疗需求，建立契合医护人员以及病人需求的志愿者服务内容，以多元形式开展志愿者服务</w:t>
            </w:r>
          </w:p>
        </w:tc>
        <w:tc>
          <w:tcPr>
            <w:tcW w:w="969" w:type="pct"/>
            <w:tcBorders>
              <w:top w:val="single" w:color="000000" w:sz="4" w:space="0"/>
              <w:left w:val="single" w:color="auto" w:sz="4" w:space="0"/>
              <w:right w:val="single" w:color="000000" w:sz="4" w:space="0"/>
            </w:tcBorders>
            <w:noWrap w:val="0"/>
            <w:tcMar>
              <w:top w:w="15" w:type="dxa"/>
              <w:left w:w="15" w:type="dxa"/>
              <w:right w:w="15" w:type="dxa"/>
            </w:tcMar>
            <w:vAlign w:val="center"/>
          </w:tcPr>
          <w:p w14:paraId="0A1C80E8">
            <w:pPr>
              <w:widowControl/>
              <w:jc w:val="center"/>
              <w:textAlignment w:val="center"/>
              <w:rPr>
                <w:rFonts w:hint="default" w:ascii="仿宋" w:hAnsi="仿宋" w:eastAsia="仿宋" w:cs="仿宋"/>
                <w:color w:val="auto"/>
                <w:szCs w:val="21"/>
                <w:highlight w:val="none"/>
                <w:lang w:val="en-US" w:eastAsia="zh-CN"/>
              </w:rPr>
            </w:pPr>
            <w:r>
              <w:rPr>
                <w:rFonts w:hint="eastAsia" w:ascii="仿宋" w:hAnsi="仿宋" w:eastAsia="仿宋" w:cs="仿宋"/>
                <w:color w:val="auto"/>
                <w:szCs w:val="21"/>
                <w:highlight w:val="none"/>
                <w:lang w:val="en-US" w:eastAsia="zh-CN"/>
              </w:rPr>
              <w:t>恒常化志愿服务开展</w:t>
            </w:r>
          </w:p>
        </w:tc>
        <w:tc>
          <w:tcPr>
            <w:tcW w:w="667" w:type="pc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8D52E42">
            <w:pPr>
              <w:widowControl/>
              <w:jc w:val="center"/>
              <w:textAlignment w:val="center"/>
              <w:rPr>
                <w:rFonts w:hint="eastAsia" w:ascii="仿宋" w:hAnsi="仿宋" w:eastAsia="仿宋" w:cs="仿宋"/>
                <w:color w:val="auto"/>
                <w:kern w:val="0"/>
                <w:szCs w:val="21"/>
                <w:highlight w:val="none"/>
              </w:rPr>
            </w:pPr>
            <w:r>
              <w:rPr>
                <w:rFonts w:hint="eastAsia" w:ascii="仿宋" w:hAnsi="仿宋" w:eastAsia="仿宋" w:cs="仿宋"/>
                <w:color w:val="auto"/>
                <w:kern w:val="0"/>
                <w:szCs w:val="21"/>
                <w:highlight w:val="none"/>
              </w:rPr>
              <w:t>≧</w:t>
            </w:r>
            <w:r>
              <w:rPr>
                <w:rFonts w:hint="eastAsia" w:ascii="仿宋" w:hAnsi="仿宋" w:eastAsia="仿宋" w:cs="仿宋"/>
                <w:color w:val="auto"/>
                <w:kern w:val="0"/>
                <w:szCs w:val="21"/>
                <w:highlight w:val="none"/>
                <w:lang w:val="en-US" w:eastAsia="zh-CN"/>
              </w:rPr>
              <w:t>2</w:t>
            </w:r>
            <w:r>
              <w:rPr>
                <w:rFonts w:hint="eastAsia" w:ascii="仿宋" w:hAnsi="仿宋" w:eastAsia="仿宋" w:cs="仿宋"/>
                <w:color w:val="auto"/>
                <w:kern w:val="0"/>
                <w:szCs w:val="21"/>
                <w:highlight w:val="none"/>
              </w:rPr>
              <w:t>场</w:t>
            </w:r>
          </w:p>
        </w:tc>
      </w:tr>
      <w:tr w14:paraId="33CD7E41">
        <w:tblPrEx>
          <w:tblCellMar>
            <w:top w:w="0" w:type="dxa"/>
            <w:left w:w="0" w:type="dxa"/>
            <w:bottom w:w="0" w:type="dxa"/>
            <w:right w:w="0" w:type="dxa"/>
          </w:tblCellMar>
        </w:tblPrEx>
        <w:trPr>
          <w:trHeight w:val="2117" w:hRule="atLeast"/>
        </w:trPr>
        <w:tc>
          <w:tcPr>
            <w:tcW w:w="778" w:type="pct"/>
            <w:vMerge w:val="continue"/>
            <w:tcBorders>
              <w:left w:val="single" w:color="000000" w:sz="4" w:space="0"/>
              <w:right w:val="single" w:color="auto" w:sz="4" w:space="0"/>
            </w:tcBorders>
            <w:noWrap w:val="0"/>
            <w:tcMar>
              <w:top w:w="15" w:type="dxa"/>
              <w:left w:w="15" w:type="dxa"/>
              <w:right w:w="15" w:type="dxa"/>
            </w:tcMar>
            <w:vAlign w:val="center"/>
          </w:tcPr>
          <w:p w14:paraId="3A5AC07F">
            <w:pPr>
              <w:jc w:val="center"/>
              <w:rPr>
                <w:rFonts w:hint="eastAsia" w:ascii="仿宋" w:hAnsi="仿宋" w:eastAsia="仿宋" w:cs="仿宋"/>
                <w:color w:val="auto"/>
                <w:szCs w:val="21"/>
                <w:highlight w:val="none"/>
              </w:rPr>
            </w:pPr>
          </w:p>
        </w:tc>
        <w:tc>
          <w:tcPr>
            <w:tcW w:w="643" w:type="pct"/>
            <w:tcBorders>
              <w:top w:val="single" w:color="auto" w:sz="4" w:space="0"/>
              <w:left w:val="single" w:color="auto" w:sz="4" w:space="0"/>
              <w:bottom w:val="single" w:color="auto" w:sz="4" w:space="0"/>
              <w:right w:val="single" w:color="000000" w:sz="4" w:space="0"/>
            </w:tcBorders>
            <w:noWrap w:val="0"/>
            <w:tcMar>
              <w:top w:w="15" w:type="dxa"/>
              <w:left w:w="15" w:type="dxa"/>
              <w:right w:w="15" w:type="dxa"/>
            </w:tcMar>
            <w:vAlign w:val="center"/>
          </w:tcPr>
          <w:p w14:paraId="3BD2CAD9">
            <w:pPr>
              <w:widowControl/>
              <w:jc w:val="center"/>
              <w:textAlignment w:val="center"/>
              <w:rPr>
                <w:rFonts w:hint="eastAsia" w:ascii="仿宋" w:hAnsi="仿宋" w:eastAsia="仿宋" w:cs="仿宋"/>
                <w:color w:val="auto"/>
                <w:szCs w:val="21"/>
                <w:highlight w:val="none"/>
                <w:lang w:val="en-US" w:eastAsia="zh-CN"/>
              </w:rPr>
            </w:pPr>
            <w:r>
              <w:rPr>
                <w:rFonts w:hint="eastAsia" w:ascii="仿宋" w:hAnsi="仿宋" w:eastAsia="仿宋" w:cs="仿宋"/>
                <w:color w:val="auto"/>
                <w:szCs w:val="21"/>
                <w:highlight w:val="none"/>
                <w:lang w:val="en-US" w:eastAsia="zh-CN"/>
              </w:rPr>
              <w:t>联动志愿力量，协助开展医院各项工作</w:t>
            </w:r>
          </w:p>
        </w:tc>
        <w:tc>
          <w:tcPr>
            <w:tcW w:w="1941" w:type="pct"/>
            <w:tcBorders>
              <w:top w:val="single" w:color="auto" w:sz="4" w:space="0"/>
              <w:left w:val="single" w:color="000000" w:sz="4" w:space="0"/>
              <w:bottom w:val="single" w:color="auto" w:sz="4" w:space="0"/>
              <w:right w:val="single" w:color="000000" w:sz="4" w:space="0"/>
            </w:tcBorders>
            <w:noWrap w:val="0"/>
            <w:tcMar>
              <w:top w:w="15" w:type="dxa"/>
              <w:left w:w="15" w:type="dxa"/>
              <w:right w:w="15" w:type="dxa"/>
            </w:tcMar>
            <w:vAlign w:val="center"/>
          </w:tcPr>
          <w:p w14:paraId="279A6F8B">
            <w:pPr>
              <w:widowControl/>
              <w:jc w:val="center"/>
              <w:textAlignment w:val="center"/>
              <w:rPr>
                <w:rFonts w:hint="default" w:ascii="仿宋" w:hAnsi="仿宋" w:eastAsia="仿宋" w:cs="仿宋"/>
                <w:color w:val="auto"/>
                <w:kern w:val="0"/>
                <w:szCs w:val="21"/>
                <w:highlight w:val="none"/>
                <w:lang w:val="en-US" w:eastAsia="zh-CN"/>
              </w:rPr>
            </w:pPr>
            <w:r>
              <w:rPr>
                <w:rFonts w:hint="eastAsia" w:ascii="仿宋" w:hAnsi="仿宋" w:eastAsia="仿宋" w:cs="仿宋"/>
                <w:color w:val="auto"/>
                <w:kern w:val="0"/>
                <w:szCs w:val="21"/>
                <w:highlight w:val="none"/>
              </w:rPr>
              <w:t>联动医院党员医护及其他热心医护人员，</w:t>
            </w:r>
            <w:r>
              <w:rPr>
                <w:rFonts w:hint="eastAsia" w:ascii="仿宋" w:hAnsi="仿宋" w:eastAsia="仿宋" w:cs="仿宋"/>
                <w:color w:val="auto"/>
                <w:szCs w:val="21"/>
                <w:highlight w:val="none"/>
              </w:rPr>
              <w:t>协助医院开展志愿者活动，统筹协调志愿者参与各项志愿服务</w:t>
            </w:r>
            <w:r>
              <w:rPr>
                <w:rFonts w:hint="eastAsia" w:ascii="仿宋" w:hAnsi="仿宋" w:eastAsia="仿宋" w:cs="仿宋"/>
                <w:color w:val="auto"/>
                <w:kern w:val="0"/>
                <w:szCs w:val="21"/>
                <w:highlight w:val="none"/>
              </w:rPr>
              <w:t>，提升医院志愿者服务的品牌影响力</w:t>
            </w:r>
            <w:r>
              <w:rPr>
                <w:rFonts w:hint="eastAsia" w:ascii="仿宋" w:hAnsi="仿宋" w:eastAsia="仿宋" w:cs="仿宋"/>
                <w:color w:val="auto"/>
                <w:kern w:val="0"/>
                <w:szCs w:val="21"/>
                <w:highlight w:val="none"/>
                <w:lang w:eastAsia="zh-CN"/>
              </w:rPr>
              <w:t>，</w:t>
            </w:r>
            <w:r>
              <w:rPr>
                <w:rFonts w:hint="eastAsia" w:ascii="仿宋" w:hAnsi="仿宋" w:eastAsia="仿宋" w:cs="仿宋"/>
                <w:color w:val="auto"/>
                <w:kern w:val="0"/>
                <w:szCs w:val="21"/>
                <w:highlight w:val="none"/>
                <w:lang w:val="en-US" w:eastAsia="zh-CN"/>
              </w:rPr>
              <w:t>包括但不限于青年文明号协助、义诊、志愿服务招募等。</w:t>
            </w:r>
          </w:p>
        </w:tc>
        <w:tc>
          <w:tcPr>
            <w:tcW w:w="969" w:type="pct"/>
            <w:tcBorders>
              <w:top w:val="single" w:color="000000" w:sz="4" w:space="0"/>
              <w:left w:val="single" w:color="000000" w:sz="4" w:space="0"/>
              <w:bottom w:val="single" w:color="auto" w:sz="4" w:space="0"/>
              <w:right w:val="single" w:color="000000" w:sz="4" w:space="0"/>
            </w:tcBorders>
            <w:noWrap w:val="0"/>
            <w:tcMar>
              <w:top w:w="15" w:type="dxa"/>
              <w:left w:w="15" w:type="dxa"/>
              <w:right w:w="15" w:type="dxa"/>
            </w:tcMar>
            <w:vAlign w:val="center"/>
          </w:tcPr>
          <w:p w14:paraId="515B559A">
            <w:pPr>
              <w:widowControl/>
              <w:jc w:val="center"/>
              <w:textAlignment w:val="center"/>
              <w:rPr>
                <w:rFonts w:hint="default" w:ascii="仿宋" w:hAnsi="仿宋" w:eastAsia="仿宋" w:cs="仿宋"/>
                <w:color w:val="auto"/>
                <w:szCs w:val="21"/>
                <w:highlight w:val="none"/>
                <w:lang w:val="en-US" w:eastAsia="zh-CN"/>
              </w:rPr>
            </w:pPr>
            <w:r>
              <w:rPr>
                <w:rFonts w:hint="eastAsia" w:ascii="仿宋" w:hAnsi="仿宋" w:eastAsia="仿宋" w:cs="仿宋"/>
                <w:color w:val="auto"/>
                <w:szCs w:val="21"/>
                <w:highlight w:val="none"/>
                <w:lang w:val="en-US" w:eastAsia="zh-CN"/>
              </w:rPr>
              <w:t>协助服务工作</w:t>
            </w:r>
          </w:p>
        </w:tc>
        <w:tc>
          <w:tcPr>
            <w:tcW w:w="667" w:type="pc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25B7D8F">
            <w:pPr>
              <w:widowControl/>
              <w:jc w:val="center"/>
              <w:textAlignment w:val="center"/>
              <w:rPr>
                <w:rFonts w:hint="default" w:ascii="仿宋" w:hAnsi="仿宋" w:eastAsia="仿宋" w:cs="仿宋"/>
                <w:color w:val="auto"/>
                <w:kern w:val="0"/>
                <w:szCs w:val="21"/>
                <w:highlight w:val="none"/>
                <w:lang w:val="en-US" w:eastAsia="zh-CN"/>
              </w:rPr>
            </w:pPr>
            <w:r>
              <w:rPr>
                <w:rFonts w:hint="eastAsia" w:ascii="仿宋" w:hAnsi="仿宋" w:eastAsia="仿宋" w:cs="仿宋"/>
                <w:color w:val="auto"/>
                <w:kern w:val="0"/>
                <w:szCs w:val="21"/>
                <w:highlight w:val="none"/>
              </w:rPr>
              <w:t>≧</w:t>
            </w:r>
            <w:r>
              <w:rPr>
                <w:rFonts w:hint="eastAsia" w:ascii="仿宋" w:hAnsi="仿宋" w:eastAsia="仿宋" w:cs="仿宋"/>
                <w:color w:val="auto"/>
                <w:kern w:val="0"/>
                <w:szCs w:val="21"/>
                <w:highlight w:val="none"/>
                <w:lang w:val="en-US" w:eastAsia="zh-CN"/>
              </w:rPr>
              <w:t>3次</w:t>
            </w:r>
          </w:p>
        </w:tc>
      </w:tr>
      <w:tr w14:paraId="044B1432">
        <w:tblPrEx>
          <w:tblCellMar>
            <w:top w:w="0" w:type="dxa"/>
            <w:left w:w="0" w:type="dxa"/>
            <w:bottom w:w="0" w:type="dxa"/>
            <w:right w:w="0" w:type="dxa"/>
          </w:tblCellMar>
        </w:tblPrEx>
        <w:trPr>
          <w:trHeight w:val="1177" w:hRule="atLeast"/>
        </w:trPr>
        <w:tc>
          <w:tcPr>
            <w:tcW w:w="778" w:type="pct"/>
            <w:vMerge w:val="continue"/>
            <w:tcBorders>
              <w:left w:val="single" w:color="000000" w:sz="4" w:space="0"/>
              <w:bottom w:val="single" w:color="auto" w:sz="4" w:space="0"/>
              <w:right w:val="single" w:color="auto" w:sz="4" w:space="0"/>
            </w:tcBorders>
            <w:noWrap w:val="0"/>
            <w:tcMar>
              <w:top w:w="15" w:type="dxa"/>
              <w:left w:w="15" w:type="dxa"/>
              <w:right w:w="15" w:type="dxa"/>
            </w:tcMar>
            <w:vAlign w:val="center"/>
          </w:tcPr>
          <w:p w14:paraId="38717ACD">
            <w:pPr>
              <w:jc w:val="center"/>
              <w:rPr>
                <w:rFonts w:hint="eastAsia" w:ascii="仿宋" w:hAnsi="仿宋" w:eastAsia="仿宋" w:cs="仿宋"/>
                <w:color w:val="auto"/>
                <w:szCs w:val="21"/>
                <w:highlight w:val="none"/>
              </w:rPr>
            </w:pPr>
          </w:p>
        </w:tc>
        <w:tc>
          <w:tcPr>
            <w:tcW w:w="643" w:type="pct"/>
            <w:tcBorders>
              <w:top w:val="single" w:color="auto" w:sz="4" w:space="0"/>
              <w:left w:val="single" w:color="auto" w:sz="4" w:space="0"/>
              <w:bottom w:val="single" w:color="auto" w:sz="4" w:space="0"/>
              <w:right w:val="single" w:color="000000" w:sz="4" w:space="0"/>
            </w:tcBorders>
            <w:noWrap w:val="0"/>
            <w:tcMar>
              <w:top w:w="15" w:type="dxa"/>
              <w:left w:w="15" w:type="dxa"/>
              <w:right w:w="15" w:type="dxa"/>
            </w:tcMar>
            <w:vAlign w:val="center"/>
          </w:tcPr>
          <w:p w14:paraId="20CEA7CB">
            <w:pPr>
              <w:widowControl/>
              <w:jc w:val="center"/>
              <w:textAlignment w:val="center"/>
              <w:rPr>
                <w:rFonts w:hint="default" w:ascii="仿宋" w:hAnsi="仿宋" w:eastAsia="仿宋" w:cs="仿宋"/>
                <w:color w:val="auto"/>
                <w:kern w:val="0"/>
                <w:szCs w:val="21"/>
                <w:highlight w:val="none"/>
                <w:lang w:val="en-US" w:eastAsia="zh-CN"/>
              </w:rPr>
            </w:pPr>
            <w:r>
              <w:rPr>
                <w:rFonts w:hint="eastAsia" w:ascii="仿宋" w:hAnsi="仿宋" w:eastAsia="仿宋" w:cs="仿宋"/>
                <w:color w:val="auto"/>
                <w:kern w:val="0"/>
                <w:szCs w:val="21"/>
                <w:highlight w:val="none"/>
                <w:lang w:val="en-US" w:eastAsia="zh-CN"/>
              </w:rPr>
              <w:t>志愿服务模式</w:t>
            </w:r>
          </w:p>
        </w:tc>
        <w:tc>
          <w:tcPr>
            <w:tcW w:w="1941" w:type="pct"/>
            <w:tcBorders>
              <w:top w:val="single" w:color="auto" w:sz="4" w:space="0"/>
              <w:left w:val="single" w:color="000000" w:sz="4" w:space="0"/>
              <w:bottom w:val="single" w:color="auto" w:sz="4" w:space="0"/>
              <w:right w:val="single" w:color="000000" w:sz="4" w:space="0"/>
            </w:tcBorders>
            <w:noWrap w:val="0"/>
            <w:tcMar>
              <w:top w:w="15" w:type="dxa"/>
              <w:left w:w="15" w:type="dxa"/>
              <w:right w:w="15" w:type="dxa"/>
            </w:tcMar>
            <w:vAlign w:val="center"/>
          </w:tcPr>
          <w:p w14:paraId="7893EED6">
            <w:pPr>
              <w:widowControl/>
              <w:jc w:val="center"/>
              <w:textAlignment w:val="center"/>
              <w:rPr>
                <w:rFonts w:hint="eastAsia" w:ascii="仿宋" w:hAnsi="仿宋" w:eastAsia="仿宋" w:cs="仿宋"/>
                <w:color w:val="auto"/>
                <w:kern w:val="0"/>
                <w:szCs w:val="21"/>
                <w:highlight w:val="none"/>
              </w:rPr>
            </w:pPr>
          </w:p>
          <w:p w14:paraId="16A6473A">
            <w:pPr>
              <w:widowControl/>
              <w:jc w:val="center"/>
              <w:textAlignment w:val="center"/>
              <w:rPr>
                <w:rFonts w:hint="eastAsia" w:ascii="仿宋" w:hAnsi="仿宋" w:eastAsia="仿宋" w:cs="仿宋"/>
                <w:color w:val="auto"/>
                <w:kern w:val="0"/>
                <w:szCs w:val="21"/>
                <w:highlight w:val="none"/>
                <w:lang w:val="en-US" w:eastAsia="zh-CN"/>
              </w:rPr>
            </w:pPr>
            <w:r>
              <w:rPr>
                <w:rFonts w:hint="eastAsia" w:ascii="仿宋" w:hAnsi="仿宋" w:eastAsia="仿宋" w:cs="仿宋"/>
                <w:color w:val="auto"/>
                <w:kern w:val="0"/>
                <w:szCs w:val="21"/>
                <w:highlight w:val="none"/>
              </w:rPr>
              <w:t>梳理院内医务社工志愿服务实践，开展数据整理、模式分析，形成志愿服务实践报告 / 课题成果 1 份</w:t>
            </w:r>
          </w:p>
        </w:tc>
        <w:tc>
          <w:tcPr>
            <w:tcW w:w="969" w:type="pct"/>
            <w:tcBorders>
              <w:top w:val="single" w:color="000000" w:sz="4" w:space="0"/>
              <w:left w:val="single" w:color="000000" w:sz="4" w:space="0"/>
              <w:bottom w:val="single" w:color="auto" w:sz="4" w:space="0"/>
              <w:right w:val="single" w:color="000000" w:sz="4" w:space="0"/>
            </w:tcBorders>
            <w:noWrap w:val="0"/>
            <w:tcMar>
              <w:top w:w="15" w:type="dxa"/>
              <w:left w:w="15" w:type="dxa"/>
              <w:right w:w="15" w:type="dxa"/>
            </w:tcMar>
            <w:vAlign w:val="center"/>
          </w:tcPr>
          <w:p w14:paraId="5B5E7177">
            <w:pPr>
              <w:widowControl/>
              <w:jc w:val="center"/>
              <w:textAlignment w:val="center"/>
              <w:rPr>
                <w:rFonts w:hint="default" w:ascii="仿宋" w:hAnsi="仿宋" w:eastAsia="仿宋" w:cs="仿宋"/>
                <w:color w:val="auto"/>
                <w:szCs w:val="21"/>
                <w:highlight w:val="none"/>
                <w:lang w:val="en-US" w:eastAsia="zh-CN"/>
              </w:rPr>
            </w:pPr>
            <w:r>
              <w:rPr>
                <w:rFonts w:hint="eastAsia" w:ascii="仿宋" w:hAnsi="仿宋" w:eastAsia="仿宋" w:cs="仿宋"/>
                <w:color w:val="auto"/>
                <w:szCs w:val="21"/>
                <w:highlight w:val="none"/>
                <w:lang w:val="en-US" w:eastAsia="zh-CN"/>
              </w:rPr>
              <w:t>课题/报告/文章</w:t>
            </w:r>
          </w:p>
        </w:tc>
        <w:tc>
          <w:tcPr>
            <w:tcW w:w="667" w:type="pc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5516276">
            <w:pPr>
              <w:widowControl/>
              <w:jc w:val="center"/>
              <w:textAlignment w:val="center"/>
              <w:rPr>
                <w:rFonts w:hint="default" w:ascii="仿宋" w:hAnsi="仿宋" w:eastAsia="仿宋" w:cs="仿宋"/>
                <w:color w:val="auto"/>
                <w:kern w:val="0"/>
                <w:szCs w:val="21"/>
                <w:highlight w:val="none"/>
                <w:lang w:val="en-US" w:eastAsia="zh-CN"/>
              </w:rPr>
            </w:pPr>
            <w:r>
              <w:rPr>
                <w:rFonts w:hint="eastAsia" w:ascii="仿宋" w:hAnsi="仿宋" w:eastAsia="仿宋" w:cs="仿宋"/>
                <w:color w:val="auto"/>
                <w:kern w:val="0"/>
                <w:szCs w:val="21"/>
                <w:highlight w:val="none"/>
                <w:lang w:val="en-US" w:eastAsia="zh-CN"/>
              </w:rPr>
              <w:t>1篇</w:t>
            </w:r>
          </w:p>
        </w:tc>
      </w:tr>
      <w:tr w14:paraId="2C5231A4">
        <w:tblPrEx>
          <w:tblCellMar>
            <w:top w:w="0" w:type="dxa"/>
            <w:left w:w="0" w:type="dxa"/>
            <w:bottom w:w="0" w:type="dxa"/>
            <w:right w:w="0" w:type="dxa"/>
          </w:tblCellMar>
        </w:tblPrEx>
        <w:trPr>
          <w:trHeight w:val="801" w:hRule="atLeast"/>
        </w:trPr>
        <w:tc>
          <w:tcPr>
            <w:tcW w:w="778" w:type="pct"/>
            <w:vMerge w:val="restart"/>
            <w:tcBorders>
              <w:top w:val="single" w:color="auto" w:sz="4" w:space="0"/>
              <w:left w:val="single" w:color="auto" w:sz="4" w:space="0"/>
              <w:right w:val="single" w:color="auto" w:sz="4" w:space="0"/>
            </w:tcBorders>
            <w:noWrap w:val="0"/>
            <w:tcMar>
              <w:top w:w="15" w:type="dxa"/>
              <w:left w:w="15" w:type="dxa"/>
              <w:right w:w="15" w:type="dxa"/>
            </w:tcMar>
            <w:vAlign w:val="center"/>
          </w:tcPr>
          <w:p w14:paraId="57AB13BE">
            <w:pPr>
              <w:widowControl/>
              <w:jc w:val="center"/>
              <w:textAlignment w:val="center"/>
              <w:rPr>
                <w:rFonts w:hint="default" w:ascii="仿宋" w:hAnsi="仿宋" w:eastAsia="仿宋" w:cs="仿宋"/>
                <w:color w:val="auto"/>
                <w:szCs w:val="21"/>
                <w:highlight w:val="none"/>
                <w:lang w:val="en-US" w:eastAsia="zh-CN"/>
              </w:rPr>
            </w:pPr>
            <w:r>
              <w:rPr>
                <w:rFonts w:hint="eastAsia" w:ascii="宋体" w:hAnsi="宋体" w:eastAsia="宋体" w:cs="宋体"/>
                <w:b/>
                <w:color w:val="auto"/>
                <w:sz w:val="24"/>
                <w:szCs w:val="24"/>
                <w:highlight w:val="none"/>
                <w:lang w:val="en-US" w:eastAsia="zh-CN"/>
              </w:rPr>
              <w:t>医学人文关怀与倡导</w:t>
            </w:r>
          </w:p>
        </w:tc>
        <w:tc>
          <w:tcPr>
            <w:tcW w:w="643" w:type="pct"/>
            <w:tcBorders>
              <w:top w:val="single" w:color="auto" w:sz="4" w:space="0"/>
              <w:left w:val="single" w:color="auto" w:sz="4" w:space="0"/>
              <w:bottom w:val="single" w:color="auto" w:sz="4" w:space="0"/>
              <w:right w:val="single" w:color="000000" w:sz="4" w:space="0"/>
            </w:tcBorders>
            <w:noWrap w:val="0"/>
            <w:tcMar>
              <w:top w:w="15" w:type="dxa"/>
              <w:left w:w="15" w:type="dxa"/>
              <w:right w:w="15" w:type="dxa"/>
            </w:tcMar>
            <w:vAlign w:val="center"/>
          </w:tcPr>
          <w:p w14:paraId="74608B82">
            <w:pPr>
              <w:widowControl/>
              <w:jc w:val="center"/>
              <w:textAlignment w:val="center"/>
              <w:rPr>
                <w:rFonts w:hint="default" w:ascii="仿宋" w:hAnsi="仿宋" w:eastAsia="仿宋" w:cs="仿宋"/>
                <w:color w:val="auto"/>
                <w:szCs w:val="21"/>
                <w:highlight w:val="none"/>
                <w:lang w:val="en-US" w:eastAsia="zh-CN"/>
              </w:rPr>
            </w:pPr>
            <w:r>
              <w:rPr>
                <w:rFonts w:hint="eastAsia" w:ascii="仿宋" w:hAnsi="仿宋" w:eastAsia="仿宋" w:cs="仿宋"/>
                <w:color w:val="auto"/>
                <w:szCs w:val="21"/>
                <w:highlight w:val="none"/>
                <w:lang w:val="en-US" w:eastAsia="zh-CN"/>
              </w:rPr>
              <w:t>项目宣传推广</w:t>
            </w:r>
          </w:p>
        </w:tc>
        <w:tc>
          <w:tcPr>
            <w:tcW w:w="1941" w:type="pct"/>
            <w:tcBorders>
              <w:top w:val="single" w:color="auto" w:sz="4" w:space="0"/>
              <w:left w:val="single" w:color="000000" w:sz="4" w:space="0"/>
              <w:bottom w:val="single" w:color="auto" w:sz="4" w:space="0"/>
              <w:right w:val="single" w:color="000000" w:sz="4" w:space="0"/>
            </w:tcBorders>
            <w:noWrap w:val="0"/>
            <w:tcMar>
              <w:top w:w="15" w:type="dxa"/>
              <w:left w:w="15" w:type="dxa"/>
              <w:right w:w="15" w:type="dxa"/>
            </w:tcMar>
            <w:vAlign w:val="center"/>
          </w:tcPr>
          <w:p w14:paraId="17CAF166">
            <w:pPr>
              <w:widowControl/>
              <w:jc w:val="center"/>
              <w:textAlignment w:val="center"/>
              <w:rPr>
                <w:rFonts w:hint="eastAsia" w:ascii="仿宋" w:hAnsi="仿宋" w:eastAsia="仿宋" w:cs="仿宋"/>
                <w:color w:val="auto"/>
                <w:kern w:val="0"/>
                <w:szCs w:val="21"/>
                <w:highlight w:val="none"/>
              </w:rPr>
            </w:pPr>
            <w:r>
              <w:rPr>
                <w:rFonts w:hint="eastAsia" w:ascii="仿宋" w:hAnsi="仿宋" w:eastAsia="仿宋" w:cs="仿宋"/>
                <w:color w:val="auto"/>
                <w:kern w:val="0"/>
                <w:szCs w:val="21"/>
                <w:highlight w:val="none"/>
              </w:rPr>
              <w:t>协助医院团委管理公众号，撰写并发布工作相关推文。</w:t>
            </w:r>
          </w:p>
        </w:tc>
        <w:tc>
          <w:tcPr>
            <w:tcW w:w="969" w:type="pct"/>
            <w:tcBorders>
              <w:top w:val="single" w:color="auto" w:sz="4" w:space="0"/>
              <w:left w:val="single" w:color="000000" w:sz="4" w:space="0"/>
              <w:bottom w:val="single" w:color="000000" w:sz="4" w:space="0"/>
              <w:right w:val="single" w:color="auto" w:sz="4" w:space="0"/>
            </w:tcBorders>
            <w:noWrap w:val="0"/>
            <w:tcMar>
              <w:top w:w="15" w:type="dxa"/>
              <w:left w:w="15" w:type="dxa"/>
              <w:right w:w="15" w:type="dxa"/>
            </w:tcMar>
            <w:vAlign w:val="center"/>
          </w:tcPr>
          <w:p w14:paraId="7042898A">
            <w:pPr>
              <w:widowControl/>
              <w:jc w:val="center"/>
              <w:textAlignment w:val="center"/>
              <w:rPr>
                <w:rFonts w:hint="default" w:ascii="仿宋" w:hAnsi="仿宋" w:eastAsia="仿宋" w:cs="仿宋"/>
                <w:color w:val="auto"/>
                <w:szCs w:val="21"/>
                <w:highlight w:val="none"/>
                <w:lang w:val="en-US" w:eastAsia="zh-CN"/>
              </w:rPr>
            </w:pPr>
            <w:r>
              <w:rPr>
                <w:rFonts w:hint="eastAsia" w:ascii="仿宋" w:hAnsi="仿宋" w:eastAsia="仿宋" w:cs="仿宋"/>
                <w:color w:val="auto"/>
                <w:szCs w:val="21"/>
                <w:highlight w:val="none"/>
                <w:lang w:val="en-US" w:eastAsia="zh-CN"/>
              </w:rPr>
              <w:t>公众号运营</w:t>
            </w:r>
          </w:p>
        </w:tc>
        <w:tc>
          <w:tcPr>
            <w:tcW w:w="667" w:type="pct"/>
            <w:tcBorders>
              <w:top w:val="single" w:color="000000" w:sz="4" w:space="0"/>
              <w:left w:val="single" w:color="auto" w:sz="4" w:space="0"/>
              <w:bottom w:val="single" w:color="000000" w:sz="4" w:space="0"/>
              <w:right w:val="single" w:color="000000" w:sz="4" w:space="0"/>
            </w:tcBorders>
            <w:noWrap w:val="0"/>
            <w:tcMar>
              <w:top w:w="15" w:type="dxa"/>
              <w:left w:w="15" w:type="dxa"/>
              <w:right w:w="15" w:type="dxa"/>
            </w:tcMar>
            <w:vAlign w:val="center"/>
          </w:tcPr>
          <w:p w14:paraId="157FE9A0">
            <w:pPr>
              <w:widowControl/>
              <w:jc w:val="center"/>
              <w:textAlignment w:val="center"/>
              <w:rPr>
                <w:rFonts w:hint="eastAsia" w:ascii="仿宋" w:hAnsi="仿宋" w:eastAsia="仿宋" w:cs="仿宋"/>
                <w:color w:val="auto"/>
                <w:kern w:val="0"/>
                <w:szCs w:val="21"/>
                <w:highlight w:val="none"/>
                <w:lang w:val="en-US" w:eastAsia="zh-CN"/>
              </w:rPr>
            </w:pPr>
            <w:r>
              <w:rPr>
                <w:rFonts w:hint="eastAsia" w:ascii="仿宋" w:hAnsi="仿宋" w:eastAsia="仿宋" w:cs="仿宋"/>
                <w:color w:val="auto"/>
                <w:kern w:val="0"/>
                <w:szCs w:val="21"/>
                <w:highlight w:val="none"/>
                <w:lang w:val="en-US" w:eastAsia="zh-CN"/>
              </w:rPr>
              <w:t>1个</w:t>
            </w:r>
          </w:p>
          <w:p w14:paraId="5CACD317">
            <w:pPr>
              <w:widowControl/>
              <w:jc w:val="center"/>
              <w:textAlignment w:val="center"/>
              <w:rPr>
                <w:rFonts w:hint="default" w:ascii="仿宋" w:hAnsi="仿宋" w:eastAsia="仿宋" w:cs="仿宋"/>
                <w:color w:val="auto"/>
                <w:kern w:val="0"/>
                <w:szCs w:val="21"/>
                <w:highlight w:val="none"/>
                <w:lang w:val="en-US" w:eastAsia="zh-CN"/>
              </w:rPr>
            </w:pPr>
            <w:r>
              <w:rPr>
                <w:rFonts w:hint="eastAsia" w:ascii="仿宋" w:hAnsi="仿宋" w:eastAsia="仿宋" w:cs="仿宋"/>
                <w:color w:val="auto"/>
                <w:kern w:val="0"/>
                <w:szCs w:val="21"/>
                <w:highlight w:val="none"/>
                <w:lang w:val="en-US" w:eastAsia="zh-CN"/>
              </w:rPr>
              <w:t>推文次数≥6篇</w:t>
            </w:r>
          </w:p>
        </w:tc>
      </w:tr>
      <w:tr w14:paraId="5B6026C3">
        <w:tblPrEx>
          <w:tblCellMar>
            <w:top w:w="0" w:type="dxa"/>
            <w:left w:w="0" w:type="dxa"/>
            <w:bottom w:w="0" w:type="dxa"/>
            <w:right w:w="0" w:type="dxa"/>
          </w:tblCellMar>
        </w:tblPrEx>
        <w:trPr>
          <w:trHeight w:val="993" w:hRule="atLeast"/>
        </w:trPr>
        <w:tc>
          <w:tcPr>
            <w:tcW w:w="778" w:type="pct"/>
            <w:vMerge w:val="continue"/>
            <w:tcBorders>
              <w:left w:val="single" w:color="auto" w:sz="4" w:space="0"/>
              <w:right w:val="single" w:color="auto" w:sz="4" w:space="0"/>
            </w:tcBorders>
            <w:noWrap w:val="0"/>
            <w:tcMar>
              <w:top w:w="15" w:type="dxa"/>
              <w:left w:w="15" w:type="dxa"/>
              <w:right w:w="15" w:type="dxa"/>
            </w:tcMar>
            <w:vAlign w:val="center"/>
          </w:tcPr>
          <w:p w14:paraId="78123857">
            <w:pPr>
              <w:jc w:val="center"/>
              <w:rPr>
                <w:rFonts w:hint="eastAsia" w:ascii="仿宋" w:hAnsi="仿宋" w:eastAsia="仿宋" w:cs="仿宋"/>
                <w:color w:val="auto"/>
                <w:szCs w:val="21"/>
                <w:highlight w:val="none"/>
                <w:lang w:val="en-US" w:eastAsia="zh-CN"/>
              </w:rPr>
            </w:pPr>
          </w:p>
        </w:tc>
        <w:tc>
          <w:tcPr>
            <w:tcW w:w="643" w:type="pct"/>
            <w:tcBorders>
              <w:top w:val="single" w:color="auto" w:sz="4" w:space="0"/>
              <w:left w:val="single" w:color="auto" w:sz="4" w:space="0"/>
              <w:bottom w:val="single" w:color="auto" w:sz="4" w:space="0"/>
              <w:right w:val="single" w:color="000000" w:sz="4" w:space="0"/>
            </w:tcBorders>
            <w:noWrap w:val="0"/>
            <w:tcMar>
              <w:top w:w="15" w:type="dxa"/>
              <w:left w:w="15" w:type="dxa"/>
              <w:right w:w="15" w:type="dxa"/>
            </w:tcMar>
            <w:vAlign w:val="center"/>
          </w:tcPr>
          <w:p w14:paraId="2E191D11">
            <w:pPr>
              <w:widowControl/>
              <w:jc w:val="center"/>
              <w:textAlignment w:val="center"/>
              <w:rPr>
                <w:rFonts w:hint="default" w:ascii="仿宋" w:hAnsi="仿宋" w:eastAsia="仿宋" w:cs="仿宋"/>
                <w:color w:val="auto"/>
                <w:szCs w:val="21"/>
                <w:highlight w:val="none"/>
                <w:lang w:val="en-US" w:eastAsia="zh-CN"/>
              </w:rPr>
            </w:pPr>
            <w:r>
              <w:rPr>
                <w:rFonts w:hint="eastAsia" w:ascii="仿宋" w:hAnsi="仿宋" w:eastAsia="仿宋" w:cs="仿宋"/>
                <w:color w:val="auto"/>
                <w:szCs w:val="21"/>
                <w:highlight w:val="none"/>
                <w:lang w:val="en-US" w:eastAsia="zh-CN"/>
              </w:rPr>
              <w:t>服务案例提炼</w:t>
            </w:r>
          </w:p>
        </w:tc>
        <w:tc>
          <w:tcPr>
            <w:tcW w:w="1941" w:type="pct"/>
            <w:tcBorders>
              <w:top w:val="single" w:color="auto" w:sz="4" w:space="0"/>
              <w:left w:val="single" w:color="000000" w:sz="4" w:space="0"/>
              <w:bottom w:val="single" w:color="auto" w:sz="4" w:space="0"/>
              <w:right w:val="single" w:color="000000" w:sz="4" w:space="0"/>
            </w:tcBorders>
            <w:noWrap w:val="0"/>
            <w:tcMar>
              <w:top w:w="15" w:type="dxa"/>
              <w:left w:w="15" w:type="dxa"/>
              <w:right w:w="15" w:type="dxa"/>
            </w:tcMar>
            <w:vAlign w:val="center"/>
          </w:tcPr>
          <w:p w14:paraId="0D6D1BD6">
            <w:pPr>
              <w:widowControl/>
              <w:jc w:val="center"/>
              <w:textAlignment w:val="center"/>
              <w:rPr>
                <w:rFonts w:hint="default" w:ascii="仿宋" w:hAnsi="仿宋" w:eastAsia="仿宋" w:cs="仿宋"/>
                <w:color w:val="auto"/>
                <w:kern w:val="0"/>
                <w:szCs w:val="21"/>
                <w:highlight w:val="none"/>
                <w:lang w:val="en-US" w:eastAsia="zh-CN"/>
              </w:rPr>
            </w:pPr>
            <w:r>
              <w:rPr>
                <w:rFonts w:hint="eastAsia" w:ascii="仿宋" w:hAnsi="仿宋" w:eastAsia="仿宋" w:cs="仿宋"/>
                <w:color w:val="auto"/>
                <w:kern w:val="0"/>
                <w:szCs w:val="21"/>
                <w:highlight w:val="none"/>
                <w:lang w:val="en-US" w:eastAsia="zh-CN"/>
              </w:rPr>
              <w:t>撰写医学人文案例故事，或总结服务经验撰写服务案例</w:t>
            </w:r>
          </w:p>
        </w:tc>
        <w:tc>
          <w:tcPr>
            <w:tcW w:w="969" w:type="pct"/>
            <w:tcBorders>
              <w:top w:val="single" w:color="000000" w:sz="4" w:space="0"/>
              <w:left w:val="single" w:color="000000" w:sz="4" w:space="0"/>
              <w:bottom w:val="single" w:color="000000" w:sz="4" w:space="0"/>
              <w:right w:val="single" w:color="auto" w:sz="4" w:space="0"/>
            </w:tcBorders>
            <w:noWrap w:val="0"/>
            <w:tcMar>
              <w:top w:w="15" w:type="dxa"/>
              <w:left w:w="15" w:type="dxa"/>
              <w:right w:w="15" w:type="dxa"/>
            </w:tcMar>
            <w:vAlign w:val="center"/>
          </w:tcPr>
          <w:p w14:paraId="525A978A">
            <w:pPr>
              <w:widowControl/>
              <w:jc w:val="center"/>
              <w:textAlignment w:val="center"/>
              <w:rPr>
                <w:rFonts w:hint="default" w:ascii="仿宋" w:hAnsi="仿宋" w:eastAsia="仿宋" w:cs="仿宋"/>
                <w:color w:val="auto"/>
                <w:szCs w:val="21"/>
                <w:highlight w:val="none"/>
                <w:lang w:val="en-US" w:eastAsia="zh-CN"/>
              </w:rPr>
            </w:pPr>
            <w:r>
              <w:rPr>
                <w:rFonts w:hint="eastAsia" w:ascii="仿宋" w:hAnsi="仿宋" w:eastAsia="仿宋" w:cs="仿宋"/>
                <w:color w:val="auto"/>
                <w:szCs w:val="21"/>
                <w:highlight w:val="none"/>
                <w:lang w:val="en-US" w:eastAsia="zh-CN"/>
              </w:rPr>
              <w:t>案例及文章撰写</w:t>
            </w:r>
          </w:p>
        </w:tc>
        <w:tc>
          <w:tcPr>
            <w:tcW w:w="667" w:type="pct"/>
            <w:tcBorders>
              <w:top w:val="single" w:color="000000" w:sz="4" w:space="0"/>
              <w:left w:val="single" w:color="auto" w:sz="4" w:space="0"/>
              <w:bottom w:val="single" w:color="000000" w:sz="4" w:space="0"/>
              <w:right w:val="single" w:color="000000" w:sz="4" w:space="0"/>
            </w:tcBorders>
            <w:noWrap w:val="0"/>
            <w:tcMar>
              <w:top w:w="15" w:type="dxa"/>
              <w:left w:w="15" w:type="dxa"/>
              <w:right w:w="15" w:type="dxa"/>
            </w:tcMar>
            <w:vAlign w:val="center"/>
          </w:tcPr>
          <w:p w14:paraId="711B4717">
            <w:pPr>
              <w:widowControl/>
              <w:jc w:val="center"/>
              <w:textAlignment w:val="center"/>
              <w:rPr>
                <w:rFonts w:hint="default" w:ascii="仿宋" w:hAnsi="仿宋" w:eastAsia="仿宋" w:cs="仿宋"/>
                <w:color w:val="auto"/>
                <w:kern w:val="0"/>
                <w:szCs w:val="21"/>
                <w:highlight w:val="none"/>
                <w:lang w:val="en-US" w:eastAsia="zh-CN"/>
              </w:rPr>
            </w:pPr>
            <w:r>
              <w:rPr>
                <w:rFonts w:hint="eastAsia" w:ascii="仿宋" w:hAnsi="仿宋" w:eastAsia="仿宋" w:cs="仿宋"/>
                <w:color w:val="auto"/>
                <w:kern w:val="0"/>
                <w:szCs w:val="21"/>
                <w:highlight w:val="none"/>
                <w:lang w:val="en-US" w:eastAsia="zh-CN"/>
              </w:rPr>
              <w:t>≥4篇</w:t>
            </w:r>
          </w:p>
        </w:tc>
      </w:tr>
      <w:tr w14:paraId="2C280CEA">
        <w:tblPrEx>
          <w:tblCellMar>
            <w:top w:w="0" w:type="dxa"/>
            <w:left w:w="0" w:type="dxa"/>
            <w:bottom w:w="0" w:type="dxa"/>
            <w:right w:w="0" w:type="dxa"/>
          </w:tblCellMar>
        </w:tblPrEx>
        <w:trPr>
          <w:trHeight w:val="1254" w:hRule="atLeast"/>
        </w:trPr>
        <w:tc>
          <w:tcPr>
            <w:tcW w:w="778" w:type="pct"/>
            <w:vMerge w:val="continue"/>
            <w:tcBorders>
              <w:left w:val="single" w:color="auto" w:sz="4" w:space="0"/>
              <w:right w:val="single" w:color="auto" w:sz="4" w:space="0"/>
            </w:tcBorders>
            <w:noWrap w:val="0"/>
            <w:tcMar>
              <w:top w:w="15" w:type="dxa"/>
              <w:left w:w="15" w:type="dxa"/>
              <w:right w:w="15" w:type="dxa"/>
            </w:tcMar>
            <w:vAlign w:val="center"/>
          </w:tcPr>
          <w:p w14:paraId="544AA706">
            <w:pPr>
              <w:jc w:val="center"/>
              <w:rPr>
                <w:rFonts w:hint="eastAsia" w:ascii="仿宋" w:hAnsi="仿宋" w:eastAsia="仿宋" w:cs="仿宋"/>
                <w:color w:val="auto"/>
                <w:szCs w:val="21"/>
                <w:highlight w:val="none"/>
                <w:lang w:val="en-US" w:eastAsia="zh-CN"/>
              </w:rPr>
            </w:pPr>
          </w:p>
        </w:tc>
        <w:tc>
          <w:tcPr>
            <w:tcW w:w="643" w:type="pct"/>
            <w:tcBorders>
              <w:top w:val="single" w:color="auto" w:sz="4" w:space="0"/>
              <w:left w:val="single" w:color="auto" w:sz="4" w:space="0"/>
              <w:bottom w:val="single" w:color="auto" w:sz="4" w:space="0"/>
              <w:right w:val="single" w:color="000000" w:sz="4" w:space="0"/>
            </w:tcBorders>
            <w:noWrap w:val="0"/>
            <w:tcMar>
              <w:top w:w="15" w:type="dxa"/>
              <w:left w:w="15" w:type="dxa"/>
              <w:right w:w="15" w:type="dxa"/>
            </w:tcMar>
            <w:vAlign w:val="center"/>
          </w:tcPr>
          <w:p w14:paraId="78FB9584">
            <w:pPr>
              <w:widowControl/>
              <w:jc w:val="center"/>
              <w:textAlignment w:val="center"/>
              <w:rPr>
                <w:rFonts w:hint="default" w:ascii="仿宋" w:hAnsi="仿宋" w:eastAsia="仿宋" w:cs="仿宋"/>
                <w:color w:val="auto"/>
                <w:szCs w:val="21"/>
                <w:highlight w:val="none"/>
                <w:lang w:val="en-US" w:eastAsia="zh-CN"/>
              </w:rPr>
            </w:pPr>
            <w:r>
              <w:rPr>
                <w:rFonts w:hint="eastAsia" w:ascii="仿宋" w:hAnsi="仿宋" w:eastAsia="仿宋" w:cs="仿宋"/>
                <w:color w:val="auto"/>
                <w:szCs w:val="21"/>
                <w:highlight w:val="none"/>
                <w:lang w:val="en-US" w:eastAsia="zh-CN"/>
              </w:rPr>
              <w:t>医学人文关怀活动</w:t>
            </w:r>
          </w:p>
        </w:tc>
        <w:tc>
          <w:tcPr>
            <w:tcW w:w="1941" w:type="pct"/>
            <w:tcBorders>
              <w:top w:val="single" w:color="auto" w:sz="4" w:space="0"/>
              <w:left w:val="single" w:color="000000" w:sz="4" w:space="0"/>
              <w:bottom w:val="single" w:color="auto" w:sz="4" w:space="0"/>
              <w:right w:val="single" w:color="000000" w:sz="4" w:space="0"/>
            </w:tcBorders>
            <w:noWrap w:val="0"/>
            <w:tcMar>
              <w:top w:w="15" w:type="dxa"/>
              <w:left w:w="15" w:type="dxa"/>
              <w:right w:w="15" w:type="dxa"/>
            </w:tcMar>
            <w:vAlign w:val="center"/>
          </w:tcPr>
          <w:p w14:paraId="06DA2107">
            <w:pPr>
              <w:widowControl/>
              <w:jc w:val="center"/>
              <w:textAlignment w:val="center"/>
              <w:rPr>
                <w:rFonts w:hint="default" w:ascii="仿宋" w:hAnsi="仿宋" w:eastAsia="仿宋" w:cs="仿宋"/>
                <w:color w:val="auto"/>
                <w:szCs w:val="21"/>
                <w:highlight w:val="none"/>
                <w:lang w:val="en-US" w:eastAsia="zh-CN"/>
              </w:rPr>
            </w:pPr>
            <w:r>
              <w:rPr>
                <w:rFonts w:hint="eastAsia" w:ascii="仿宋" w:hAnsi="仿宋" w:eastAsia="仿宋" w:cs="仿宋"/>
                <w:color w:val="auto"/>
                <w:szCs w:val="21"/>
                <w:highlight w:val="none"/>
                <w:lang w:val="en-US" w:eastAsia="zh-CN"/>
              </w:rPr>
              <w:t>按医院需求，协助医院开展护士节、医师节、医二代志愿服务等医学人文关怀服务。</w:t>
            </w:r>
          </w:p>
        </w:tc>
        <w:tc>
          <w:tcPr>
            <w:tcW w:w="969" w:type="pct"/>
            <w:tcBorders>
              <w:top w:val="single" w:color="000000" w:sz="4" w:space="0"/>
              <w:left w:val="single" w:color="000000" w:sz="4" w:space="0"/>
              <w:bottom w:val="single" w:color="000000" w:sz="4" w:space="0"/>
              <w:right w:val="single" w:color="auto" w:sz="4" w:space="0"/>
            </w:tcBorders>
            <w:noWrap w:val="0"/>
            <w:tcMar>
              <w:top w:w="15" w:type="dxa"/>
              <w:left w:w="15" w:type="dxa"/>
              <w:right w:w="15" w:type="dxa"/>
            </w:tcMar>
            <w:vAlign w:val="center"/>
          </w:tcPr>
          <w:p w14:paraId="21F157BB">
            <w:pPr>
              <w:widowControl/>
              <w:jc w:val="center"/>
              <w:textAlignment w:val="center"/>
              <w:rPr>
                <w:rFonts w:hint="default" w:ascii="仿宋" w:hAnsi="仿宋" w:eastAsia="仿宋" w:cs="仿宋"/>
                <w:color w:val="auto"/>
                <w:szCs w:val="21"/>
                <w:highlight w:val="none"/>
                <w:lang w:val="en-US" w:eastAsia="zh-CN"/>
              </w:rPr>
            </w:pPr>
            <w:r>
              <w:rPr>
                <w:rFonts w:hint="eastAsia" w:ascii="仿宋" w:hAnsi="仿宋" w:eastAsia="仿宋" w:cs="仿宋"/>
                <w:color w:val="auto"/>
                <w:szCs w:val="21"/>
                <w:highlight w:val="none"/>
                <w:lang w:val="en-US" w:eastAsia="zh-CN"/>
              </w:rPr>
              <w:t>活动</w:t>
            </w:r>
          </w:p>
        </w:tc>
        <w:tc>
          <w:tcPr>
            <w:tcW w:w="667" w:type="pct"/>
            <w:tcBorders>
              <w:top w:val="single" w:color="000000" w:sz="4" w:space="0"/>
              <w:left w:val="single" w:color="auto" w:sz="4" w:space="0"/>
              <w:bottom w:val="single" w:color="000000" w:sz="4" w:space="0"/>
              <w:right w:val="single" w:color="000000" w:sz="4" w:space="0"/>
            </w:tcBorders>
            <w:noWrap w:val="0"/>
            <w:tcMar>
              <w:top w:w="15" w:type="dxa"/>
              <w:left w:w="15" w:type="dxa"/>
              <w:right w:w="15" w:type="dxa"/>
            </w:tcMar>
            <w:vAlign w:val="center"/>
          </w:tcPr>
          <w:p w14:paraId="796CAC31">
            <w:pPr>
              <w:widowControl/>
              <w:jc w:val="center"/>
              <w:textAlignment w:val="center"/>
              <w:rPr>
                <w:rFonts w:hint="default" w:ascii="仿宋" w:hAnsi="仿宋" w:eastAsia="仿宋" w:cs="仿宋"/>
                <w:color w:val="auto"/>
                <w:kern w:val="0"/>
                <w:szCs w:val="21"/>
                <w:highlight w:val="none"/>
                <w:lang w:val="en-US" w:eastAsia="zh-CN"/>
              </w:rPr>
            </w:pPr>
            <w:r>
              <w:rPr>
                <w:rFonts w:hint="eastAsia" w:ascii="仿宋" w:hAnsi="仿宋" w:eastAsia="仿宋" w:cs="仿宋"/>
                <w:color w:val="auto"/>
                <w:kern w:val="0"/>
                <w:szCs w:val="21"/>
                <w:highlight w:val="none"/>
                <w:lang w:val="en-US" w:eastAsia="zh-CN"/>
              </w:rPr>
              <w:t>≥4场</w:t>
            </w:r>
          </w:p>
        </w:tc>
      </w:tr>
      <w:tr w14:paraId="2742F3E4">
        <w:tblPrEx>
          <w:tblCellMar>
            <w:top w:w="0" w:type="dxa"/>
            <w:left w:w="0" w:type="dxa"/>
            <w:bottom w:w="0" w:type="dxa"/>
            <w:right w:w="0" w:type="dxa"/>
          </w:tblCellMar>
        </w:tblPrEx>
        <w:trPr>
          <w:trHeight w:val="1254" w:hRule="atLeast"/>
        </w:trPr>
        <w:tc>
          <w:tcPr>
            <w:tcW w:w="778" w:type="pct"/>
            <w:vMerge w:val="restart"/>
            <w:tcBorders>
              <w:left w:val="single" w:color="auto" w:sz="4" w:space="0"/>
              <w:right w:val="single" w:color="auto" w:sz="4" w:space="0"/>
            </w:tcBorders>
            <w:noWrap w:val="0"/>
            <w:tcMar>
              <w:top w:w="15" w:type="dxa"/>
              <w:left w:w="15" w:type="dxa"/>
              <w:right w:w="15" w:type="dxa"/>
            </w:tcMar>
            <w:vAlign w:val="center"/>
          </w:tcPr>
          <w:p w14:paraId="4284544B">
            <w:pPr>
              <w:jc w:val="center"/>
              <w:rPr>
                <w:rFonts w:hint="eastAsia" w:ascii="仿宋" w:hAnsi="仿宋" w:eastAsia="仿宋" w:cs="仿宋"/>
                <w:color w:val="auto"/>
                <w:szCs w:val="21"/>
                <w:highlight w:val="none"/>
                <w:lang w:val="en-US" w:eastAsia="zh-CN"/>
              </w:rPr>
            </w:pPr>
            <w:r>
              <w:rPr>
                <w:rFonts w:hint="eastAsia" w:ascii="宋体" w:hAnsi="宋体" w:eastAsia="宋体" w:cs="宋体"/>
                <w:b/>
                <w:color w:val="auto"/>
                <w:sz w:val="24"/>
                <w:szCs w:val="24"/>
                <w:highlight w:val="none"/>
                <w:lang w:val="en-US" w:eastAsia="zh-CN"/>
              </w:rPr>
              <w:t>社会资源链接与支持</w:t>
            </w:r>
          </w:p>
        </w:tc>
        <w:tc>
          <w:tcPr>
            <w:tcW w:w="643" w:type="pct"/>
            <w:vMerge w:val="restart"/>
            <w:tcBorders>
              <w:top w:val="single" w:color="auto" w:sz="4" w:space="0"/>
              <w:left w:val="single" w:color="auto" w:sz="4" w:space="0"/>
              <w:bottom w:val="single" w:color="auto" w:sz="4" w:space="0"/>
              <w:right w:val="single" w:color="000000" w:sz="4" w:space="0"/>
            </w:tcBorders>
            <w:noWrap w:val="0"/>
            <w:tcMar>
              <w:top w:w="15" w:type="dxa"/>
              <w:left w:w="15" w:type="dxa"/>
              <w:right w:w="15" w:type="dxa"/>
            </w:tcMar>
            <w:vAlign w:val="center"/>
          </w:tcPr>
          <w:p w14:paraId="49E4B12B">
            <w:pPr>
              <w:widowControl/>
              <w:jc w:val="center"/>
              <w:textAlignment w:val="center"/>
              <w:rPr>
                <w:rFonts w:hint="eastAsia" w:ascii="仿宋" w:hAnsi="仿宋" w:eastAsia="仿宋" w:cs="仿宋"/>
                <w:color w:val="auto"/>
                <w:szCs w:val="21"/>
                <w:highlight w:val="none"/>
                <w:lang w:val="en-US" w:eastAsia="zh-CN"/>
              </w:rPr>
            </w:pPr>
            <w:r>
              <w:rPr>
                <w:rFonts w:hint="eastAsia" w:ascii="仿宋" w:hAnsi="仿宋" w:eastAsia="仿宋" w:cs="仿宋"/>
                <w:color w:val="auto"/>
                <w:highlight w:val="none"/>
              </w:rPr>
              <w:t>增强病友应对疾病所衍生问题的能力，提升医院人文关怀。</w:t>
            </w:r>
          </w:p>
        </w:tc>
        <w:tc>
          <w:tcPr>
            <w:tcW w:w="1941" w:type="pct"/>
            <w:vMerge w:val="restart"/>
            <w:tcBorders>
              <w:top w:val="single" w:color="auto" w:sz="4" w:space="0"/>
              <w:left w:val="single" w:color="000000" w:sz="4" w:space="0"/>
              <w:right w:val="single" w:color="000000" w:sz="4" w:space="0"/>
            </w:tcBorders>
            <w:shd w:val="clear" w:color="auto" w:fill="auto"/>
            <w:noWrap w:val="0"/>
            <w:tcMar>
              <w:top w:w="15" w:type="dxa"/>
              <w:left w:w="15" w:type="dxa"/>
              <w:right w:w="15" w:type="dxa"/>
            </w:tcMar>
            <w:vAlign w:val="center"/>
          </w:tcPr>
          <w:p w14:paraId="02C2B13F">
            <w:pPr>
              <w:widowControl/>
              <w:jc w:val="center"/>
              <w:textAlignment w:val="center"/>
              <w:rPr>
                <w:rFonts w:hint="eastAsia" w:ascii="仿宋" w:hAnsi="仿宋" w:eastAsia="仿宋" w:cs="仿宋"/>
                <w:color w:val="auto"/>
                <w:kern w:val="2"/>
                <w:sz w:val="21"/>
                <w:szCs w:val="21"/>
                <w:highlight w:val="none"/>
                <w:lang w:val="en-US" w:eastAsia="zh-CN" w:bidi="ar-SA"/>
              </w:rPr>
            </w:pPr>
            <w:r>
              <w:rPr>
                <w:rFonts w:hint="eastAsia" w:ascii="仿宋" w:hAnsi="仿宋" w:eastAsia="仿宋" w:cs="仿宋"/>
                <w:color w:val="auto"/>
                <w:kern w:val="0"/>
                <w:szCs w:val="21"/>
                <w:highlight w:val="none"/>
                <w:lang w:bidi="ar"/>
              </w:rPr>
              <w:t>积极挖掘、联动基金会、企业、慈善会、社会组织等各类社会力量，搭建并维护医院医务社工公益资源库</w:t>
            </w:r>
          </w:p>
        </w:tc>
        <w:tc>
          <w:tcPr>
            <w:tcW w:w="969" w:type="pct"/>
            <w:tcBorders>
              <w:top w:val="single" w:color="000000" w:sz="4" w:space="0"/>
              <w:left w:val="single" w:color="000000" w:sz="4" w:space="0"/>
              <w:bottom w:val="single" w:color="000000" w:sz="4" w:space="0"/>
              <w:right w:val="single" w:color="auto" w:sz="4" w:space="0"/>
            </w:tcBorders>
            <w:shd w:val="clear" w:color="auto" w:fill="auto"/>
            <w:noWrap w:val="0"/>
            <w:tcMar>
              <w:top w:w="15" w:type="dxa"/>
              <w:left w:w="15" w:type="dxa"/>
              <w:right w:w="15" w:type="dxa"/>
            </w:tcMar>
            <w:vAlign w:val="center"/>
          </w:tcPr>
          <w:p w14:paraId="49F6FA1D">
            <w:pPr>
              <w:widowControl/>
              <w:jc w:val="center"/>
              <w:textAlignment w:val="center"/>
              <w:rPr>
                <w:rFonts w:hint="eastAsia" w:ascii="仿宋" w:hAnsi="仿宋" w:eastAsia="仿宋" w:cs="仿宋"/>
                <w:color w:val="auto"/>
                <w:kern w:val="2"/>
                <w:sz w:val="21"/>
                <w:szCs w:val="21"/>
                <w:highlight w:val="none"/>
                <w:lang w:val="en-US" w:eastAsia="zh-CN" w:bidi="ar-SA"/>
              </w:rPr>
            </w:pPr>
            <w:r>
              <w:rPr>
                <w:rFonts w:hint="eastAsia" w:ascii="仿宋" w:hAnsi="仿宋" w:eastAsia="仿宋" w:cs="仿宋"/>
                <w:color w:val="auto"/>
                <w:szCs w:val="21"/>
                <w:highlight w:val="none"/>
                <w:lang w:bidi="ar"/>
              </w:rPr>
              <w:t>资源链接</w:t>
            </w:r>
          </w:p>
        </w:tc>
        <w:tc>
          <w:tcPr>
            <w:tcW w:w="667" w:type="pct"/>
            <w:tcBorders>
              <w:top w:val="single" w:color="000000" w:sz="4" w:space="0"/>
              <w:left w:val="single" w:color="auto" w:sz="4" w:space="0"/>
              <w:bottom w:val="single" w:color="000000" w:sz="4" w:space="0"/>
              <w:right w:val="single" w:color="000000" w:sz="4" w:space="0"/>
            </w:tcBorders>
            <w:shd w:val="clear" w:color="auto" w:fill="auto"/>
            <w:noWrap w:val="0"/>
            <w:tcMar>
              <w:top w:w="15" w:type="dxa"/>
              <w:left w:w="15" w:type="dxa"/>
              <w:right w:w="15" w:type="dxa"/>
            </w:tcMar>
            <w:vAlign w:val="center"/>
          </w:tcPr>
          <w:p w14:paraId="0A04F051">
            <w:pPr>
              <w:widowControl/>
              <w:jc w:val="center"/>
              <w:textAlignment w:val="center"/>
              <w:rPr>
                <w:rFonts w:hint="eastAsia" w:ascii="仿宋" w:hAnsi="仿宋" w:eastAsia="仿宋" w:cs="仿宋"/>
                <w:color w:val="auto"/>
                <w:kern w:val="0"/>
                <w:sz w:val="21"/>
                <w:szCs w:val="21"/>
                <w:highlight w:val="none"/>
                <w:lang w:val="en-US" w:eastAsia="zh-CN" w:bidi="ar-SA"/>
              </w:rPr>
            </w:pPr>
            <w:r>
              <w:rPr>
                <w:rFonts w:hint="eastAsia" w:ascii="仿宋" w:hAnsi="仿宋" w:eastAsia="仿宋" w:cs="仿宋"/>
                <w:color w:val="auto"/>
                <w:kern w:val="0"/>
                <w:szCs w:val="21"/>
                <w:highlight w:val="none"/>
                <w:lang w:bidi="ar"/>
              </w:rPr>
              <w:t>联动资源类型不少于2类</w:t>
            </w:r>
          </w:p>
        </w:tc>
      </w:tr>
      <w:tr w14:paraId="602DE499">
        <w:tblPrEx>
          <w:tblCellMar>
            <w:top w:w="0" w:type="dxa"/>
            <w:left w:w="0" w:type="dxa"/>
            <w:bottom w:w="0" w:type="dxa"/>
            <w:right w:w="0" w:type="dxa"/>
          </w:tblCellMar>
        </w:tblPrEx>
        <w:trPr>
          <w:trHeight w:val="1254" w:hRule="atLeast"/>
        </w:trPr>
        <w:tc>
          <w:tcPr>
            <w:tcW w:w="778" w:type="pct"/>
            <w:vMerge w:val="continue"/>
            <w:tcBorders>
              <w:left w:val="single" w:color="auto" w:sz="4" w:space="0"/>
              <w:bottom w:val="single" w:color="auto" w:sz="4" w:space="0"/>
              <w:right w:val="single" w:color="auto" w:sz="4" w:space="0"/>
            </w:tcBorders>
            <w:noWrap w:val="0"/>
            <w:tcMar>
              <w:top w:w="15" w:type="dxa"/>
              <w:left w:w="15" w:type="dxa"/>
              <w:right w:w="15" w:type="dxa"/>
            </w:tcMar>
            <w:vAlign w:val="center"/>
          </w:tcPr>
          <w:p w14:paraId="649C7381">
            <w:pPr>
              <w:jc w:val="center"/>
              <w:rPr>
                <w:rFonts w:hint="eastAsia" w:ascii="仿宋" w:hAnsi="仿宋" w:eastAsia="仿宋" w:cs="仿宋"/>
                <w:color w:val="auto"/>
                <w:szCs w:val="21"/>
                <w:highlight w:val="none"/>
                <w:lang w:val="en-US" w:eastAsia="zh-CN"/>
              </w:rPr>
            </w:pPr>
          </w:p>
        </w:tc>
        <w:tc>
          <w:tcPr>
            <w:tcW w:w="643" w:type="pct"/>
            <w:vMerge w:val="continue"/>
            <w:tcBorders>
              <w:top w:val="single" w:color="auto" w:sz="4" w:space="0"/>
              <w:left w:val="single" w:color="auto" w:sz="4" w:space="0"/>
              <w:bottom w:val="single" w:color="auto" w:sz="4" w:space="0"/>
              <w:right w:val="single" w:color="000000" w:sz="4" w:space="0"/>
            </w:tcBorders>
            <w:noWrap w:val="0"/>
            <w:tcMar>
              <w:top w:w="15" w:type="dxa"/>
              <w:left w:w="15" w:type="dxa"/>
              <w:right w:w="15" w:type="dxa"/>
            </w:tcMar>
            <w:vAlign w:val="center"/>
          </w:tcPr>
          <w:p w14:paraId="2F415A26">
            <w:pPr>
              <w:widowControl/>
              <w:jc w:val="center"/>
              <w:textAlignment w:val="center"/>
              <w:rPr>
                <w:rFonts w:hint="eastAsia" w:ascii="仿宋" w:hAnsi="仿宋" w:eastAsia="仿宋" w:cs="仿宋"/>
                <w:color w:val="auto"/>
                <w:szCs w:val="21"/>
                <w:highlight w:val="none"/>
                <w:lang w:val="en-US" w:eastAsia="zh-CN"/>
              </w:rPr>
            </w:pPr>
          </w:p>
        </w:tc>
        <w:tc>
          <w:tcPr>
            <w:tcW w:w="1941" w:type="pct"/>
            <w:vMerge w:val="continue"/>
            <w:tcBorders>
              <w:left w:val="single" w:color="000000" w:sz="4" w:space="0"/>
              <w:bottom w:val="single" w:color="auto" w:sz="4" w:space="0"/>
              <w:right w:val="single" w:color="000000" w:sz="4" w:space="0"/>
            </w:tcBorders>
            <w:noWrap w:val="0"/>
            <w:tcMar>
              <w:top w:w="15" w:type="dxa"/>
              <w:left w:w="15" w:type="dxa"/>
              <w:right w:w="15" w:type="dxa"/>
            </w:tcMar>
            <w:vAlign w:val="center"/>
          </w:tcPr>
          <w:p w14:paraId="2930DBC6">
            <w:pPr>
              <w:widowControl/>
              <w:jc w:val="center"/>
              <w:textAlignment w:val="center"/>
              <w:rPr>
                <w:rFonts w:hint="eastAsia" w:ascii="仿宋" w:hAnsi="仿宋" w:eastAsia="仿宋" w:cs="仿宋"/>
                <w:color w:val="auto"/>
                <w:szCs w:val="21"/>
                <w:highlight w:val="none"/>
                <w:lang w:val="en-US" w:eastAsia="zh-CN"/>
              </w:rPr>
            </w:pPr>
          </w:p>
        </w:tc>
        <w:tc>
          <w:tcPr>
            <w:tcW w:w="969" w:type="pct"/>
            <w:tcBorders>
              <w:top w:val="single" w:color="000000" w:sz="4" w:space="0"/>
              <w:left w:val="single" w:color="000000" w:sz="4" w:space="0"/>
              <w:bottom w:val="single" w:color="auto" w:sz="4" w:space="0"/>
              <w:right w:val="single" w:color="auto" w:sz="4" w:space="0"/>
            </w:tcBorders>
            <w:noWrap w:val="0"/>
            <w:tcMar>
              <w:top w:w="15" w:type="dxa"/>
              <w:left w:w="15" w:type="dxa"/>
              <w:right w:w="15" w:type="dxa"/>
            </w:tcMar>
            <w:vAlign w:val="center"/>
          </w:tcPr>
          <w:p w14:paraId="03189289">
            <w:pPr>
              <w:widowControl/>
              <w:jc w:val="center"/>
              <w:textAlignment w:val="center"/>
              <w:rPr>
                <w:rFonts w:hint="eastAsia" w:ascii="仿宋" w:hAnsi="仿宋" w:eastAsia="仿宋" w:cs="仿宋"/>
                <w:color w:val="auto"/>
                <w:szCs w:val="21"/>
                <w:highlight w:val="none"/>
                <w:lang w:val="en-US" w:eastAsia="zh-CN" w:bidi="ar"/>
              </w:rPr>
            </w:pPr>
            <w:r>
              <w:rPr>
                <w:rFonts w:hint="eastAsia" w:ascii="仿宋" w:hAnsi="仿宋" w:eastAsia="仿宋" w:cs="仿宋"/>
                <w:color w:val="auto"/>
                <w:szCs w:val="21"/>
                <w:highlight w:val="none"/>
                <w:lang w:bidi="ar"/>
              </w:rPr>
              <w:t>受益人次</w:t>
            </w:r>
            <w:r>
              <w:rPr>
                <w:rFonts w:hint="eastAsia" w:ascii="仿宋" w:hAnsi="仿宋" w:eastAsia="仿宋" w:cs="仿宋"/>
                <w:color w:val="auto"/>
                <w:szCs w:val="21"/>
                <w:highlight w:val="none"/>
                <w:lang w:bidi="ar"/>
              </w:rPr>
              <w:tab/>
            </w:r>
          </w:p>
        </w:tc>
        <w:tc>
          <w:tcPr>
            <w:tcW w:w="667" w:type="pct"/>
            <w:tcBorders>
              <w:top w:val="single" w:color="000000" w:sz="4" w:space="0"/>
              <w:left w:val="single" w:color="auto" w:sz="4" w:space="0"/>
              <w:bottom w:val="single" w:color="000000" w:sz="4" w:space="0"/>
              <w:right w:val="single" w:color="000000" w:sz="4" w:space="0"/>
            </w:tcBorders>
            <w:noWrap w:val="0"/>
            <w:tcMar>
              <w:top w:w="15" w:type="dxa"/>
              <w:left w:w="15" w:type="dxa"/>
              <w:right w:w="15" w:type="dxa"/>
            </w:tcMar>
            <w:vAlign w:val="center"/>
          </w:tcPr>
          <w:p w14:paraId="2D1F3F07">
            <w:pPr>
              <w:widowControl/>
              <w:jc w:val="center"/>
              <w:textAlignment w:val="center"/>
              <w:rPr>
                <w:rFonts w:hint="eastAsia" w:ascii="仿宋" w:hAnsi="仿宋" w:eastAsia="仿宋" w:cs="仿宋"/>
                <w:color w:val="auto"/>
                <w:szCs w:val="21"/>
                <w:highlight w:val="none"/>
                <w:lang w:val="en-US" w:eastAsia="zh-CN" w:bidi="ar"/>
              </w:rPr>
            </w:pPr>
            <w:r>
              <w:rPr>
                <w:rFonts w:hint="eastAsia" w:ascii="仿宋" w:hAnsi="仿宋" w:eastAsia="仿宋" w:cs="仿宋"/>
                <w:color w:val="auto"/>
                <w:szCs w:val="21"/>
                <w:highlight w:val="none"/>
                <w:lang w:bidi="ar"/>
              </w:rPr>
              <w:t>资源落地服务受益人次≥200 人次</w:t>
            </w:r>
          </w:p>
        </w:tc>
      </w:tr>
    </w:tbl>
    <w:p w14:paraId="3034B01E">
      <w:pPr>
        <w:adjustRightInd w:val="0"/>
        <w:snapToGrid w:val="0"/>
        <w:spacing w:line="360" w:lineRule="auto"/>
        <w:outlineLvl w:val="1"/>
        <w:rPr>
          <w:rFonts w:ascii="宋体" w:hAnsi="宋体" w:cs="宋体"/>
          <w:b/>
          <w:bCs/>
          <w:color w:val="auto"/>
          <w:sz w:val="24"/>
          <w:szCs w:val="24"/>
          <w:highlight w:val="none"/>
        </w:rPr>
      </w:pPr>
      <w:r>
        <w:rPr>
          <w:rFonts w:hint="eastAsia" w:ascii="宋体" w:hAnsi="宋体" w:cs="宋体"/>
          <w:b/>
          <w:bCs/>
          <w:color w:val="auto"/>
          <w:sz w:val="24"/>
          <w:szCs w:val="24"/>
          <w:highlight w:val="none"/>
        </w:rPr>
        <w:t>（八）其他要求</w:t>
      </w:r>
    </w:p>
    <w:p w14:paraId="01719917">
      <w:pPr>
        <w:spacing w:line="360" w:lineRule="auto"/>
        <w:ind w:firstLine="480" w:firstLineChars="200"/>
        <w:rPr>
          <w:rFonts w:hint="eastAsia" w:ascii="仿宋" w:hAnsi="仿宋" w:eastAsia="仿宋" w:cs="仿宋"/>
          <w:color w:val="auto"/>
          <w:spacing w:val="-6"/>
          <w:sz w:val="24"/>
          <w:szCs w:val="24"/>
          <w:highlight w:val="none"/>
        </w:rPr>
      </w:pPr>
      <w:r>
        <w:rPr>
          <w:rFonts w:hint="eastAsia" w:ascii="仿宋" w:hAnsi="仿宋" w:eastAsia="仿宋" w:cs="仿宋"/>
          <w:bCs/>
          <w:color w:val="auto"/>
          <w:sz w:val="24"/>
          <w:szCs w:val="24"/>
          <w:highlight w:val="none"/>
        </w:rPr>
        <w:t>1</w:t>
      </w:r>
      <w:r>
        <w:rPr>
          <w:rFonts w:hint="eastAsia" w:ascii="仿宋" w:hAnsi="仿宋" w:eastAsia="仿宋" w:cs="仿宋"/>
          <w:color w:val="auto"/>
          <w:spacing w:val="-6"/>
          <w:sz w:val="24"/>
          <w:szCs w:val="24"/>
          <w:highlight w:val="none"/>
        </w:rPr>
        <w:t>.同类项目业绩：供应商过往承接不少于2个广东省内社工服务项目，并且评估成绩为</w:t>
      </w:r>
      <w:r>
        <w:rPr>
          <w:rFonts w:hint="eastAsia" w:ascii="仿宋" w:hAnsi="仿宋" w:eastAsia="仿宋" w:cs="仿宋"/>
          <w:color w:val="auto"/>
          <w:spacing w:val="-6"/>
          <w:sz w:val="24"/>
          <w:szCs w:val="24"/>
          <w:highlight w:val="none"/>
          <w:lang w:val="en-US" w:eastAsia="zh-CN"/>
        </w:rPr>
        <w:t>良好及</w:t>
      </w:r>
      <w:r>
        <w:rPr>
          <w:rFonts w:hint="eastAsia" w:ascii="仿宋" w:hAnsi="仿宋" w:eastAsia="仿宋" w:cs="仿宋"/>
          <w:color w:val="auto"/>
          <w:spacing w:val="-6"/>
          <w:sz w:val="24"/>
          <w:szCs w:val="24"/>
          <w:highlight w:val="none"/>
        </w:rPr>
        <w:t>以上。</w:t>
      </w:r>
    </w:p>
    <w:p w14:paraId="0305C17A">
      <w:pPr>
        <w:spacing w:line="360" w:lineRule="auto"/>
        <w:ind w:firstLine="456" w:firstLineChars="200"/>
        <w:rPr>
          <w:rFonts w:hint="eastAsia" w:ascii="仿宋" w:hAnsi="仿宋" w:eastAsia="仿宋" w:cs="仿宋"/>
          <w:color w:val="auto"/>
          <w:spacing w:val="-6"/>
          <w:sz w:val="24"/>
          <w:szCs w:val="24"/>
          <w:highlight w:val="none"/>
        </w:rPr>
      </w:pPr>
      <w:r>
        <w:rPr>
          <w:rFonts w:hint="eastAsia" w:ascii="仿宋" w:hAnsi="仿宋" w:eastAsia="仿宋" w:cs="仿宋"/>
          <w:color w:val="auto"/>
          <w:spacing w:val="-6"/>
          <w:sz w:val="24"/>
          <w:szCs w:val="24"/>
          <w:highlight w:val="none"/>
        </w:rPr>
        <w:t>2. 同类领域研究能力：应标团队（包括执行团队及督导）过去在专业期刊上发表医务社会工作相关的文章优先考虑。</w:t>
      </w:r>
    </w:p>
    <w:p w14:paraId="768C9875">
      <w:pPr>
        <w:spacing w:line="360" w:lineRule="auto"/>
        <w:ind w:firstLine="456" w:firstLineChars="200"/>
        <w:rPr>
          <w:rFonts w:hint="eastAsia" w:ascii="仿宋" w:hAnsi="仿宋" w:eastAsia="仿宋" w:cs="仿宋"/>
          <w:color w:val="auto"/>
          <w:spacing w:val="-6"/>
          <w:sz w:val="24"/>
          <w:szCs w:val="24"/>
          <w:highlight w:val="none"/>
        </w:rPr>
      </w:pPr>
      <w:r>
        <w:rPr>
          <w:rFonts w:hint="eastAsia" w:ascii="仿宋" w:hAnsi="仿宋" w:eastAsia="仿宋" w:cs="仿宋"/>
          <w:color w:val="auto"/>
          <w:spacing w:val="-6"/>
          <w:sz w:val="24"/>
          <w:szCs w:val="24"/>
          <w:highlight w:val="none"/>
        </w:rPr>
        <w:t>3. 链接资源能力：过去3年投标人除政府资金，链接社会资金（个人、企业、基金会、慈善会）开展社会服务，累计筹集资源超过</w:t>
      </w:r>
      <w:r>
        <w:rPr>
          <w:rFonts w:hint="eastAsia" w:ascii="仿宋" w:hAnsi="仿宋" w:eastAsia="仿宋" w:cs="仿宋"/>
          <w:color w:val="auto"/>
          <w:spacing w:val="-6"/>
          <w:sz w:val="24"/>
          <w:szCs w:val="24"/>
          <w:highlight w:val="none"/>
          <w:lang w:val="en-US" w:eastAsia="zh-CN"/>
        </w:rPr>
        <w:t>2</w:t>
      </w:r>
      <w:r>
        <w:rPr>
          <w:rFonts w:hint="eastAsia" w:ascii="仿宋" w:hAnsi="仿宋" w:eastAsia="仿宋" w:cs="仿宋"/>
          <w:color w:val="auto"/>
          <w:spacing w:val="-6"/>
          <w:sz w:val="24"/>
          <w:szCs w:val="24"/>
          <w:highlight w:val="none"/>
        </w:rPr>
        <w:t>0万（以资助合同为准）优先考虑。</w:t>
      </w:r>
    </w:p>
    <w:p w14:paraId="66AD3CBE">
      <w:pPr>
        <w:spacing w:line="360" w:lineRule="auto"/>
        <w:ind w:firstLine="456" w:firstLineChars="200"/>
        <w:rPr>
          <w:rFonts w:hint="eastAsia" w:ascii="仿宋" w:hAnsi="仿宋" w:eastAsia="仿宋" w:cs="仿宋"/>
          <w:color w:val="auto"/>
          <w:spacing w:val="-6"/>
          <w:sz w:val="24"/>
          <w:szCs w:val="24"/>
          <w:highlight w:val="none"/>
        </w:rPr>
      </w:pPr>
      <w:r>
        <w:rPr>
          <w:rFonts w:hint="eastAsia" w:ascii="仿宋" w:hAnsi="仿宋" w:eastAsia="仿宋" w:cs="仿宋"/>
          <w:color w:val="auto"/>
          <w:spacing w:val="-6"/>
          <w:sz w:val="24"/>
          <w:szCs w:val="24"/>
          <w:highlight w:val="none"/>
        </w:rPr>
        <w:t>4. 社会信誉：获得民政部门4A(AAAA)及以上社会组织等级评估称号优先考虑。</w:t>
      </w:r>
    </w:p>
    <w:p w14:paraId="709E6FA4">
      <w:pPr>
        <w:spacing w:line="360" w:lineRule="auto"/>
        <w:ind w:firstLine="456" w:firstLineChars="200"/>
        <w:rPr>
          <w:rFonts w:hint="eastAsia" w:ascii="仿宋" w:hAnsi="仿宋" w:eastAsia="仿宋" w:cs="仿宋"/>
          <w:color w:val="auto"/>
          <w:spacing w:val="-6"/>
          <w:sz w:val="24"/>
          <w:szCs w:val="24"/>
          <w:highlight w:val="none"/>
        </w:rPr>
      </w:pPr>
      <w:r>
        <w:rPr>
          <w:rFonts w:hint="eastAsia" w:ascii="仿宋" w:hAnsi="仿宋" w:eastAsia="仿宋" w:cs="仿宋"/>
          <w:color w:val="auto"/>
          <w:spacing w:val="-6"/>
          <w:sz w:val="24"/>
          <w:szCs w:val="24"/>
          <w:highlight w:val="none"/>
        </w:rPr>
        <w:t xml:space="preserve">5. 供应商或其提供服务在过去3年获得社会媒体报道超过10次优先考虑。 </w:t>
      </w:r>
    </w:p>
    <w:p w14:paraId="5A1192AE">
      <w:pPr>
        <w:adjustRightInd w:val="0"/>
        <w:snapToGrid w:val="0"/>
        <w:spacing w:line="360" w:lineRule="auto"/>
        <w:outlineLvl w:val="0"/>
        <w:rPr>
          <w:rFonts w:hint="eastAsia" w:ascii="宋体" w:hAnsi="宋体" w:cs="宋体"/>
          <w:b/>
          <w:bCs/>
          <w:color w:val="auto"/>
          <w:sz w:val="28"/>
          <w:szCs w:val="28"/>
          <w:highlight w:val="none"/>
        </w:rPr>
      </w:pPr>
    </w:p>
    <w:p w14:paraId="39214109">
      <w:pPr>
        <w:adjustRightInd w:val="0"/>
        <w:snapToGrid w:val="0"/>
        <w:spacing w:line="360" w:lineRule="auto"/>
        <w:outlineLvl w:val="0"/>
        <w:rPr>
          <w:rFonts w:ascii="宋体" w:hAnsi="宋体" w:cs="宋体"/>
          <w:b/>
          <w:bCs/>
          <w:color w:val="auto"/>
          <w:sz w:val="28"/>
          <w:szCs w:val="28"/>
          <w:highlight w:val="none"/>
        </w:rPr>
      </w:pPr>
      <w:r>
        <w:rPr>
          <w:rFonts w:hint="eastAsia" w:ascii="宋体" w:hAnsi="宋体" w:cs="宋体"/>
          <w:b/>
          <w:bCs/>
          <w:color w:val="auto"/>
          <w:sz w:val="28"/>
          <w:szCs w:val="28"/>
          <w:highlight w:val="none"/>
        </w:rPr>
        <w:t>四、合同签订</w:t>
      </w:r>
    </w:p>
    <w:p w14:paraId="66E8F4C5">
      <w:pPr>
        <w:spacing w:line="360" w:lineRule="auto"/>
        <w:ind w:firstLine="456" w:firstLineChars="200"/>
        <w:rPr>
          <w:rFonts w:hint="eastAsia" w:ascii="仿宋" w:hAnsi="仿宋" w:eastAsia="仿宋" w:cs="仿宋"/>
          <w:color w:val="auto"/>
          <w:spacing w:val="-6"/>
          <w:sz w:val="24"/>
          <w:szCs w:val="24"/>
          <w:highlight w:val="none"/>
        </w:rPr>
      </w:pPr>
      <w:r>
        <w:rPr>
          <w:rFonts w:hint="eastAsia" w:ascii="仿宋" w:hAnsi="仿宋" w:eastAsia="仿宋" w:cs="仿宋"/>
          <w:color w:val="auto"/>
          <w:spacing w:val="-6"/>
          <w:sz w:val="24"/>
          <w:szCs w:val="24"/>
          <w:highlight w:val="none"/>
        </w:rPr>
        <w:t>采购人、供应商签订合同，合同一年一签，供应商按照项目约定要求配备项目工作人员。</w:t>
      </w:r>
    </w:p>
    <w:p w14:paraId="3C1EB89F">
      <w:pPr>
        <w:adjustRightInd w:val="0"/>
        <w:snapToGrid w:val="0"/>
        <w:spacing w:line="360" w:lineRule="auto"/>
        <w:outlineLvl w:val="0"/>
        <w:rPr>
          <w:rFonts w:hint="eastAsia" w:ascii="宋体" w:hAnsi="宋体" w:cs="宋体"/>
          <w:b/>
          <w:bCs/>
          <w:color w:val="auto"/>
          <w:sz w:val="28"/>
          <w:szCs w:val="28"/>
          <w:highlight w:val="none"/>
        </w:rPr>
      </w:pPr>
    </w:p>
    <w:p w14:paraId="254C660A">
      <w:pPr>
        <w:adjustRightInd w:val="0"/>
        <w:snapToGrid w:val="0"/>
        <w:spacing w:line="360" w:lineRule="auto"/>
        <w:outlineLvl w:val="0"/>
        <w:rPr>
          <w:rFonts w:ascii="宋体" w:hAnsi="宋体" w:cs="宋体"/>
          <w:b/>
          <w:bCs/>
          <w:color w:val="auto"/>
          <w:sz w:val="28"/>
          <w:szCs w:val="28"/>
          <w:highlight w:val="none"/>
        </w:rPr>
      </w:pPr>
      <w:r>
        <w:rPr>
          <w:rFonts w:hint="eastAsia" w:ascii="宋体" w:hAnsi="宋体" w:cs="宋体"/>
          <w:b/>
          <w:bCs/>
          <w:color w:val="auto"/>
          <w:sz w:val="28"/>
          <w:szCs w:val="28"/>
          <w:highlight w:val="none"/>
        </w:rPr>
        <w:t>五、项目管理与验收</w:t>
      </w:r>
    </w:p>
    <w:p w14:paraId="7DDAC476">
      <w:pPr>
        <w:spacing w:line="360" w:lineRule="auto"/>
        <w:ind w:firstLine="456" w:firstLineChars="200"/>
        <w:rPr>
          <w:rFonts w:hint="eastAsia" w:ascii="仿宋" w:hAnsi="仿宋" w:eastAsia="仿宋" w:cs="仿宋"/>
          <w:color w:val="auto"/>
          <w:spacing w:val="-6"/>
          <w:sz w:val="24"/>
          <w:szCs w:val="24"/>
          <w:highlight w:val="none"/>
        </w:rPr>
      </w:pPr>
      <w:r>
        <w:rPr>
          <w:rFonts w:hint="eastAsia" w:ascii="仿宋" w:hAnsi="仿宋" w:eastAsia="仿宋" w:cs="仿宋"/>
          <w:color w:val="auto"/>
          <w:spacing w:val="-6"/>
          <w:sz w:val="24"/>
          <w:szCs w:val="24"/>
          <w:highlight w:val="none"/>
        </w:rPr>
        <w:t>1.采购人负责指导和监督项目服务实施情况，定期开展日常服务监察，保证服务的数量、质量和效果。</w:t>
      </w:r>
    </w:p>
    <w:p w14:paraId="603D7199">
      <w:pPr>
        <w:spacing w:line="360" w:lineRule="auto"/>
        <w:ind w:firstLine="456" w:firstLineChars="200"/>
        <w:rPr>
          <w:rFonts w:hint="eastAsia" w:ascii="仿宋" w:hAnsi="仿宋" w:eastAsia="仿宋" w:cs="仿宋"/>
          <w:color w:val="auto"/>
          <w:spacing w:val="-6"/>
          <w:sz w:val="24"/>
          <w:szCs w:val="24"/>
          <w:highlight w:val="none"/>
        </w:rPr>
      </w:pPr>
      <w:r>
        <w:rPr>
          <w:rFonts w:hint="eastAsia" w:ascii="仿宋" w:hAnsi="仿宋" w:eastAsia="仿宋" w:cs="仿宋"/>
          <w:color w:val="auto"/>
          <w:spacing w:val="-6"/>
          <w:sz w:val="24"/>
          <w:szCs w:val="24"/>
          <w:highlight w:val="none"/>
        </w:rPr>
        <w:t>2.项目评估一年一评，于合同期末由采购人或委托第三方评估机构对项目进行评估工作。</w:t>
      </w:r>
    </w:p>
    <w:p w14:paraId="641027E1">
      <w:pPr>
        <w:adjustRightInd w:val="0"/>
        <w:snapToGrid w:val="0"/>
        <w:spacing w:line="360" w:lineRule="auto"/>
        <w:outlineLvl w:val="0"/>
        <w:rPr>
          <w:rFonts w:hint="eastAsia" w:ascii="宋体" w:hAnsi="宋体" w:cs="宋体"/>
          <w:b/>
          <w:bCs/>
          <w:color w:val="auto"/>
          <w:sz w:val="28"/>
          <w:szCs w:val="28"/>
          <w:highlight w:val="none"/>
        </w:rPr>
      </w:pPr>
    </w:p>
    <w:p w14:paraId="7A2C46EF">
      <w:pPr>
        <w:adjustRightInd w:val="0"/>
        <w:snapToGrid w:val="0"/>
        <w:spacing w:line="360" w:lineRule="auto"/>
        <w:outlineLvl w:val="0"/>
        <w:rPr>
          <w:rFonts w:ascii="宋体" w:hAnsi="宋体" w:cs="宋体"/>
          <w:b/>
          <w:bCs/>
          <w:color w:val="auto"/>
          <w:sz w:val="28"/>
          <w:szCs w:val="28"/>
          <w:highlight w:val="none"/>
        </w:rPr>
      </w:pPr>
      <w:r>
        <w:rPr>
          <w:rFonts w:hint="eastAsia" w:ascii="宋体" w:hAnsi="宋体" w:cs="宋体"/>
          <w:b/>
          <w:bCs/>
          <w:color w:val="auto"/>
          <w:sz w:val="28"/>
          <w:szCs w:val="28"/>
          <w:highlight w:val="none"/>
        </w:rPr>
        <w:t>六、付款方式</w:t>
      </w:r>
    </w:p>
    <w:p w14:paraId="0D20B20C">
      <w:pPr>
        <w:spacing w:line="360" w:lineRule="auto"/>
        <w:ind w:firstLine="456" w:firstLineChars="200"/>
        <w:rPr>
          <w:rFonts w:hint="eastAsia" w:ascii="仿宋" w:hAnsi="仿宋" w:eastAsia="仿宋" w:cs="仿宋"/>
          <w:color w:val="auto"/>
          <w:spacing w:val="-6"/>
          <w:sz w:val="24"/>
          <w:szCs w:val="24"/>
          <w:highlight w:val="none"/>
        </w:rPr>
      </w:pPr>
      <w:r>
        <w:rPr>
          <w:rFonts w:hint="eastAsia" w:ascii="仿宋" w:hAnsi="仿宋" w:eastAsia="仿宋" w:cs="仿宋"/>
          <w:color w:val="auto"/>
          <w:spacing w:val="-6"/>
          <w:sz w:val="24"/>
          <w:szCs w:val="24"/>
          <w:highlight w:val="none"/>
        </w:rPr>
        <w:t>项目服务经费以供应商的响应价格为准，采购人会每年按5：3：2比例分三期拨付给供应商。每年拨付经费的时间：签署项目合同后拨付合同金额的50%；第六个月结束后拨付合同金额的30%；项目合同期结束，评估合格或者以上的拨付合同金额的20%，若评估不合格，则扣罚合同金额的10%。</w:t>
      </w:r>
    </w:p>
    <w:p w14:paraId="538C9981">
      <w:pPr>
        <w:spacing w:line="360" w:lineRule="auto"/>
        <w:ind w:firstLine="456" w:firstLineChars="200"/>
        <w:rPr>
          <w:rFonts w:hint="eastAsia" w:ascii="仿宋" w:hAnsi="仿宋" w:eastAsia="仿宋" w:cs="仿宋"/>
          <w:color w:val="auto"/>
          <w:spacing w:val="-6"/>
          <w:sz w:val="24"/>
          <w:szCs w:val="24"/>
          <w:highlight w:val="none"/>
        </w:rPr>
      </w:pPr>
      <w:r>
        <w:rPr>
          <w:rFonts w:hint="eastAsia" w:ascii="仿宋" w:hAnsi="仿宋" w:eastAsia="仿宋" w:cs="仿宋"/>
          <w:color w:val="auto"/>
          <w:spacing w:val="-6"/>
          <w:sz w:val="24"/>
          <w:szCs w:val="24"/>
          <w:highlight w:val="none"/>
        </w:rPr>
        <w:t>项目服务经费用于支付项目运营过程发生的人员配置支出（含人员薪酬支出、督导经费支出以及培训经费支出）、直接活动支出及其他支出（含税费）、日常行政支出（含项目管理费）等。</w:t>
      </w:r>
    </w:p>
    <w:p w14:paraId="7BC6ED4D">
      <w:pPr>
        <w:spacing w:line="360" w:lineRule="auto"/>
        <w:ind w:firstLine="456" w:firstLineChars="200"/>
        <w:rPr>
          <w:rFonts w:hint="eastAsia" w:ascii="仿宋" w:hAnsi="仿宋" w:eastAsia="仿宋" w:cs="仿宋"/>
          <w:color w:val="auto"/>
          <w:spacing w:val="-6"/>
          <w:sz w:val="24"/>
          <w:szCs w:val="24"/>
          <w:highlight w:val="none"/>
        </w:rPr>
      </w:pPr>
      <w:r>
        <w:rPr>
          <w:rFonts w:hint="eastAsia" w:ascii="仿宋" w:hAnsi="仿宋" w:eastAsia="仿宋" w:cs="仿宋"/>
          <w:color w:val="auto"/>
          <w:spacing w:val="-6"/>
          <w:sz w:val="24"/>
          <w:szCs w:val="24"/>
          <w:highlight w:val="none"/>
        </w:rPr>
        <w:t>服务项目场地所需装修、水电、卫生清洁、保安等费用，办公设备（桌椅、文件柜、固话、打印机、电脑、碎纸机等）由项目采购人负责。</w:t>
      </w:r>
    </w:p>
    <w:p w14:paraId="2B62A01E">
      <w:pPr>
        <w:adjustRightInd w:val="0"/>
        <w:snapToGrid w:val="0"/>
        <w:spacing w:line="360" w:lineRule="auto"/>
        <w:outlineLvl w:val="0"/>
        <w:rPr>
          <w:rFonts w:hint="eastAsia" w:ascii="宋体" w:hAnsi="宋体" w:cs="宋体"/>
          <w:b/>
          <w:bCs/>
          <w:color w:val="auto"/>
          <w:sz w:val="28"/>
          <w:szCs w:val="28"/>
          <w:highlight w:val="none"/>
        </w:rPr>
      </w:pPr>
    </w:p>
    <w:p w14:paraId="49BF524B">
      <w:pPr>
        <w:adjustRightInd w:val="0"/>
        <w:snapToGrid w:val="0"/>
        <w:spacing w:line="360" w:lineRule="auto"/>
        <w:outlineLvl w:val="0"/>
        <w:rPr>
          <w:rFonts w:ascii="宋体" w:hAnsi="宋体" w:cs="宋体"/>
          <w:b/>
          <w:bCs/>
          <w:color w:val="auto"/>
          <w:sz w:val="28"/>
          <w:szCs w:val="28"/>
          <w:highlight w:val="none"/>
        </w:rPr>
      </w:pPr>
      <w:r>
        <w:rPr>
          <w:rFonts w:hint="eastAsia" w:ascii="宋体" w:hAnsi="宋体" w:cs="宋体"/>
          <w:b/>
          <w:bCs/>
          <w:color w:val="auto"/>
          <w:sz w:val="28"/>
          <w:szCs w:val="28"/>
          <w:highlight w:val="none"/>
        </w:rPr>
        <w:t>七、项目服务期满的移交</w:t>
      </w:r>
    </w:p>
    <w:p w14:paraId="345B7CEE">
      <w:pPr>
        <w:spacing w:line="360" w:lineRule="auto"/>
        <w:ind w:firstLine="456" w:firstLineChars="200"/>
        <w:rPr>
          <w:rFonts w:hint="eastAsia" w:ascii="仿宋" w:hAnsi="仿宋" w:eastAsia="仿宋" w:cs="仿宋"/>
          <w:color w:val="auto"/>
          <w:spacing w:val="-6"/>
          <w:sz w:val="24"/>
          <w:szCs w:val="24"/>
          <w:highlight w:val="none"/>
        </w:rPr>
      </w:pPr>
      <w:r>
        <w:rPr>
          <w:rFonts w:hint="eastAsia" w:ascii="仿宋" w:hAnsi="仿宋" w:eastAsia="仿宋" w:cs="仿宋"/>
          <w:color w:val="auto"/>
          <w:spacing w:val="-6"/>
          <w:sz w:val="24"/>
          <w:szCs w:val="24"/>
          <w:highlight w:val="none"/>
        </w:rPr>
        <w:t>1. 在移交之前或期间，供应商须保证现有场地在正常情况下干净完好。供应商移交给采购人所有的场地和其他所有资料需经采购人验收确认。</w:t>
      </w:r>
    </w:p>
    <w:p w14:paraId="541317C3">
      <w:pPr>
        <w:spacing w:line="360" w:lineRule="auto"/>
        <w:ind w:firstLine="456" w:firstLineChars="200"/>
        <w:rPr>
          <w:rFonts w:hint="eastAsia" w:ascii="仿宋" w:hAnsi="仿宋" w:eastAsia="仿宋" w:cs="仿宋"/>
          <w:color w:val="auto"/>
          <w:spacing w:val="-6"/>
          <w:sz w:val="24"/>
          <w:szCs w:val="24"/>
          <w:highlight w:val="none"/>
        </w:rPr>
      </w:pPr>
      <w:r>
        <w:rPr>
          <w:rFonts w:hint="eastAsia" w:ascii="仿宋" w:hAnsi="仿宋" w:eastAsia="仿宋" w:cs="仿宋"/>
          <w:color w:val="auto"/>
          <w:spacing w:val="-6"/>
          <w:sz w:val="24"/>
          <w:szCs w:val="24"/>
          <w:highlight w:val="none"/>
        </w:rPr>
        <w:t>2. 服务期满，出现个案（服务）仍未完结时，供应商应安排个案负责人员将个案处理完毕。个案已处理完毕的工作人员，由供应商安排撤离。</w:t>
      </w:r>
    </w:p>
    <w:sectPr>
      <w:footerReference r:id="rId3" w:type="default"/>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Microsoft JhengHei">
    <w:panose1 w:val="020B0604030504040204"/>
    <w:charset w:val="88"/>
    <w:family w:val="swiss"/>
    <w:pitch w:val="default"/>
    <w:sig w:usb0="000002A7" w:usb1="28CF4400" w:usb2="00000016" w:usb3="00000000" w:csb0="00100009" w:csb1="00000000"/>
  </w:font>
  <w:font w:name="仿宋">
    <w:panose1 w:val="02010609060101010101"/>
    <w:charset w:val="86"/>
    <w:family w:val="modern"/>
    <w:pitch w:val="default"/>
    <w:sig w:usb0="800002BF" w:usb1="38CF7CFA" w:usb2="00000016" w:usb3="00000000" w:csb0="00040001" w:csb1="00000000"/>
    <w:embedRegular r:id="rId1" w:fontKey="{5BC93364-8687-407B-A301-C9117191E017}"/>
  </w:font>
  <w:font w:name="方正小标宋_GBK">
    <w:panose1 w:val="02000000000000000000"/>
    <w:charset w:val="86"/>
    <w:family w:val="auto"/>
    <w:pitch w:val="default"/>
    <w:sig w:usb0="A00002BF" w:usb1="38CF7CFA" w:usb2="00082016" w:usb3="00000000" w:csb0="00040001" w:csb1="00000000"/>
    <w:embedRegular r:id="rId2" w:fontKey="{E1CB67F0-A57F-457D-97FB-11B0AD31D264}"/>
  </w:font>
  <w:font w:name="WPSEMBED1">
    <w:panose1 w:val="02000000000000000000"/>
    <w:charset w:val="86"/>
    <w:family w:val="auto"/>
    <w:pitch w:val="default"/>
    <w:sig w:usb0="A00002BF" w:usb1="38CF7CFA" w:usb2="00082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2372364">
    <w:pPr>
      <w:pStyle w:val="13"/>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58420" cy="1397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58420" cy="139700"/>
                      </a:xfrm>
                      <a:prstGeom prst="rect">
                        <a:avLst/>
                      </a:prstGeom>
                      <a:noFill/>
                      <a:ln w="6350">
                        <a:noFill/>
                      </a:ln>
                      <a:effectLst/>
                    </wps:spPr>
                    <wps:txbx>
                      <w:txbxContent>
                        <w:p w14:paraId="259C3DAF">
                          <w:pPr>
                            <w:pStyle w:val="13"/>
                          </w:pPr>
                          <w:r>
                            <w:rPr>
                              <w:rFonts w:hint="eastAsia"/>
                            </w:rPr>
                            <w:fldChar w:fldCharType="begin"/>
                          </w:r>
                          <w:r>
                            <w:rPr>
                              <w:rFonts w:hint="eastAsia"/>
                            </w:rPr>
                            <w:instrText xml:space="preserve"> PAGE  \* MERGEFORMAT </w:instrText>
                          </w:r>
                          <w:r>
                            <w:rPr>
                              <w:rFonts w:hint="eastAsia"/>
                            </w:rPr>
                            <w:fldChar w:fldCharType="separate"/>
                          </w:r>
                          <w:r>
                            <w:t>1</w:t>
                          </w:r>
                          <w:r>
                            <w:rPr>
                              <w:rFonts w:hint="eastAsia"/>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1pt;width:4.6pt;mso-position-horizontal:center;mso-position-horizontal-relative:margin;mso-wrap-style:none;z-index:251659264;mso-width-relative:page;mso-height-relative:page;" filled="f" stroked="f" coordsize="21600,21600" o:gfxdata="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">
              <v:fill on="f" focussize="0,0"/>
              <v:stroke on="f" weight="0.5pt"/>
              <v:imagedata o:title=""/>
              <o:lock v:ext="edit" aspectratio="f"/>
              <v:textbox inset="0mm,0mm,0mm,0mm" style="mso-fit-shape-to-text:t;">
                <w:txbxContent>
                  <w:p w14:paraId="259C3DAF">
                    <w:pPr>
                      <w:pStyle w:val="13"/>
                    </w:pPr>
                    <w:r>
                      <w:rPr>
                        <w:rFonts w:hint="eastAsia"/>
                      </w:rPr>
                      <w:fldChar w:fldCharType="begin"/>
                    </w:r>
                    <w:r>
                      <w:rPr>
                        <w:rFonts w:hint="eastAsia"/>
                      </w:rPr>
                      <w:instrText xml:space="preserve"> PAGE  \* MERGEFORMAT </w:instrText>
                    </w:r>
                    <w:r>
                      <w:rPr>
                        <w:rFonts w:hint="eastAsia"/>
                      </w:rPr>
                      <w:fldChar w:fldCharType="separate"/>
                    </w:r>
                    <w:r>
                      <w:t>1</w:t>
                    </w:r>
                    <w:r>
                      <w:rPr>
                        <w:rFonts w:hint="eastAsia"/>
                      </w:rP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86AD04B"/>
    <w:multiLevelType w:val="singleLevel"/>
    <w:tmpl w:val="A86AD04B"/>
    <w:lvl w:ilvl="0" w:tentative="0">
      <w:start w:val="1"/>
      <w:numFmt w:val="decimal"/>
      <w:suff w:val="nothing"/>
      <w:lvlText w:val="（%1）"/>
      <w:lvlJc w:val="left"/>
    </w:lvl>
  </w:abstractNum>
  <w:abstractNum w:abstractNumId="1">
    <w:nsid w:val="7CCFB18C"/>
    <w:multiLevelType w:val="multilevel"/>
    <w:tmpl w:val="7CCFB18C"/>
    <w:lvl w:ilvl="0" w:tentative="0">
      <w:start w:val="1"/>
      <w:numFmt w:val="decimal"/>
      <w:lvlText w:val="6.3.%1"/>
      <w:lvlJc w:val="left"/>
      <w:pPr>
        <w:tabs>
          <w:tab w:val="left" w:pos="720"/>
        </w:tabs>
        <w:ind w:left="432" w:hanging="432"/>
      </w:pPr>
      <w:rPr>
        <w:rFonts w:hint="eastAsia"/>
      </w:rPr>
    </w:lvl>
    <w:lvl w:ilvl="1" w:tentative="0">
      <w:start w:val="1"/>
      <w:numFmt w:val="decimal"/>
      <w:lvlText w:val="%1.%2"/>
      <w:lvlJc w:val="left"/>
      <w:pPr>
        <w:tabs>
          <w:tab w:val="left" w:pos="576"/>
        </w:tabs>
        <w:ind w:left="576" w:hanging="576"/>
      </w:pPr>
      <w:rPr>
        <w:rFonts w:hint="eastAsia"/>
      </w:rPr>
    </w:lvl>
    <w:lvl w:ilvl="2" w:tentative="0">
      <w:start w:val="1"/>
      <w:numFmt w:val="decimal"/>
      <w:pStyle w:val="4"/>
      <w:lvlText w:val="%1.%2.%3"/>
      <w:lvlJc w:val="left"/>
      <w:pPr>
        <w:tabs>
          <w:tab w:val="left" w:pos="720"/>
        </w:tabs>
        <w:ind w:left="720" w:hanging="720"/>
      </w:pPr>
      <w:rPr>
        <w:rFonts w:hint="eastAsia"/>
      </w:rPr>
    </w:lvl>
    <w:lvl w:ilvl="3" w:tentative="0">
      <w:start w:val="1"/>
      <w:numFmt w:val="decimal"/>
      <w:lvlText w:val="%4."/>
      <w:lvlJc w:val="left"/>
      <w:pPr>
        <w:tabs>
          <w:tab w:val="left" w:pos="864"/>
        </w:tabs>
        <w:ind w:left="864" w:hanging="864"/>
      </w:pPr>
      <w:rPr>
        <w:rFonts w:ascii="宋体" w:hAnsi="宋体" w:eastAsia="宋体" w:cs="Times New Roman"/>
      </w:rPr>
    </w:lvl>
    <w:lvl w:ilvl="4" w:tentative="0">
      <w:start w:val="1"/>
      <w:numFmt w:val="decimal"/>
      <w:lvlText w:val="%1.%2.%3.%4.%5"/>
      <w:lvlJc w:val="left"/>
      <w:pPr>
        <w:tabs>
          <w:tab w:val="left" w:pos="1008"/>
        </w:tabs>
        <w:ind w:left="1008" w:hanging="1008"/>
      </w:pPr>
      <w:rPr>
        <w:rFonts w:hint="eastAsia"/>
      </w:rPr>
    </w:lvl>
    <w:lvl w:ilvl="5" w:tentative="0">
      <w:start w:val="1"/>
      <w:numFmt w:val="decimal"/>
      <w:lvlText w:val="%1.%2.%3.%4.%5.%6"/>
      <w:lvlJc w:val="left"/>
      <w:pPr>
        <w:tabs>
          <w:tab w:val="left" w:pos="1152"/>
        </w:tabs>
        <w:ind w:left="1152" w:hanging="1152"/>
      </w:pPr>
      <w:rPr>
        <w:rFonts w:hint="eastAsia"/>
      </w:rPr>
    </w:lvl>
    <w:lvl w:ilvl="6" w:tentative="0">
      <w:start w:val="1"/>
      <w:numFmt w:val="decimal"/>
      <w:lvlText w:val="%1.%2.%3.%4.%5.%6.%7"/>
      <w:lvlJc w:val="left"/>
      <w:pPr>
        <w:tabs>
          <w:tab w:val="left" w:pos="1296"/>
        </w:tabs>
        <w:ind w:left="1296" w:hanging="1296"/>
      </w:pPr>
      <w:rPr>
        <w:rFonts w:hint="eastAsia"/>
      </w:rPr>
    </w:lvl>
    <w:lvl w:ilvl="7" w:tentative="0">
      <w:start w:val="1"/>
      <w:numFmt w:val="decimal"/>
      <w:lvlText w:val="%1.%2.%3.%4.%5.%6.%7.%8"/>
      <w:lvlJc w:val="left"/>
      <w:pPr>
        <w:tabs>
          <w:tab w:val="left" w:pos="1440"/>
        </w:tabs>
        <w:ind w:left="1440" w:hanging="1440"/>
      </w:pPr>
      <w:rPr>
        <w:rFonts w:hint="eastAsia"/>
      </w:rPr>
    </w:lvl>
    <w:lvl w:ilvl="8" w:tentative="0">
      <w:start w:val="1"/>
      <w:numFmt w:val="decimal"/>
      <w:lvlText w:val="%1.%2.%3.%4.%5.%6.%7.%8.%9"/>
      <w:lvlJc w:val="left"/>
      <w:pPr>
        <w:tabs>
          <w:tab w:val="left" w:pos="1584"/>
        </w:tabs>
        <w:ind w:left="1584" w:hanging="1584"/>
      </w:pPr>
      <w:rPr>
        <w:rFonts w:hint="eastAsia"/>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52"/>
  <w:embedTrueTypeFonts/>
  <w:saveSubsetFonts/>
  <w:bordersDoNotSurroundHeader w:val="0"/>
  <w:bordersDoNotSurroundFooter w:val="0"/>
  <w:documentProtection w:enforcement="0"/>
  <w:defaultTabStop w:val="420"/>
  <w:hyphenationZone w:val="360"/>
  <w:drawingGridVerticalSpacing w:val="156"/>
  <w:displayHorizontalDrawingGridEvery w:val="1"/>
  <w:displayVerticalDrawingGridEvery w:val="1"/>
  <w:noPunctuationKerning w:val="1"/>
  <w:characterSpacingControl w:val="compressPunctuation"/>
  <w:hdrShapeDefaults>
    <o:shapelayout v:ext="edit">
      <o:idmap v:ext="edit" data="1"/>
    </o:shapelayout>
  </w:hdrShapeDefaults>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mY2YmM0Yzk2MWFhYTA0Y2RmYzg3YjJhYzJkYTc0NDIifQ=="/>
  </w:docVars>
  <w:rsids>
    <w:rsidRoot w:val="079C1C52"/>
    <w:rsid w:val="00030481"/>
    <w:rsid w:val="00033704"/>
    <w:rsid w:val="000417EE"/>
    <w:rsid w:val="0005749C"/>
    <w:rsid w:val="0006494C"/>
    <w:rsid w:val="000809AC"/>
    <w:rsid w:val="00085896"/>
    <w:rsid w:val="000954EB"/>
    <w:rsid w:val="000C00F6"/>
    <w:rsid w:val="000E395D"/>
    <w:rsid w:val="000E52C1"/>
    <w:rsid w:val="000F5924"/>
    <w:rsid w:val="0013226C"/>
    <w:rsid w:val="00134351"/>
    <w:rsid w:val="001500AA"/>
    <w:rsid w:val="00151114"/>
    <w:rsid w:val="001871B8"/>
    <w:rsid w:val="001B2187"/>
    <w:rsid w:val="001E6BA6"/>
    <w:rsid w:val="001F48F4"/>
    <w:rsid w:val="002605CC"/>
    <w:rsid w:val="002935E9"/>
    <w:rsid w:val="00296707"/>
    <w:rsid w:val="002B6696"/>
    <w:rsid w:val="002C0808"/>
    <w:rsid w:val="002C3E7D"/>
    <w:rsid w:val="002E10B9"/>
    <w:rsid w:val="002E53C9"/>
    <w:rsid w:val="0030064B"/>
    <w:rsid w:val="00321438"/>
    <w:rsid w:val="0032590B"/>
    <w:rsid w:val="00347B59"/>
    <w:rsid w:val="00366549"/>
    <w:rsid w:val="00377842"/>
    <w:rsid w:val="003824D8"/>
    <w:rsid w:val="00385815"/>
    <w:rsid w:val="003B3F4B"/>
    <w:rsid w:val="003B6996"/>
    <w:rsid w:val="003C41A9"/>
    <w:rsid w:val="003F417C"/>
    <w:rsid w:val="00404BC0"/>
    <w:rsid w:val="0042164C"/>
    <w:rsid w:val="00455DF7"/>
    <w:rsid w:val="0046375D"/>
    <w:rsid w:val="0046762B"/>
    <w:rsid w:val="00471495"/>
    <w:rsid w:val="0048119D"/>
    <w:rsid w:val="00487142"/>
    <w:rsid w:val="0049645F"/>
    <w:rsid w:val="00496CEB"/>
    <w:rsid w:val="004A3C5E"/>
    <w:rsid w:val="004D7924"/>
    <w:rsid w:val="004F6283"/>
    <w:rsid w:val="005320E7"/>
    <w:rsid w:val="00544C3A"/>
    <w:rsid w:val="0055453E"/>
    <w:rsid w:val="005566F0"/>
    <w:rsid w:val="005568C5"/>
    <w:rsid w:val="00564EB8"/>
    <w:rsid w:val="00572DB2"/>
    <w:rsid w:val="0057724C"/>
    <w:rsid w:val="005B70D0"/>
    <w:rsid w:val="00601263"/>
    <w:rsid w:val="00604392"/>
    <w:rsid w:val="00635881"/>
    <w:rsid w:val="00655665"/>
    <w:rsid w:val="00656A28"/>
    <w:rsid w:val="00663023"/>
    <w:rsid w:val="0069342C"/>
    <w:rsid w:val="006A0827"/>
    <w:rsid w:val="006B515C"/>
    <w:rsid w:val="006C37C4"/>
    <w:rsid w:val="006C6330"/>
    <w:rsid w:val="006D03B6"/>
    <w:rsid w:val="006D78F5"/>
    <w:rsid w:val="006E0DDA"/>
    <w:rsid w:val="006E18FF"/>
    <w:rsid w:val="006F0D29"/>
    <w:rsid w:val="006F5027"/>
    <w:rsid w:val="007168BF"/>
    <w:rsid w:val="00716D2D"/>
    <w:rsid w:val="007336BF"/>
    <w:rsid w:val="0074024E"/>
    <w:rsid w:val="00740650"/>
    <w:rsid w:val="007517D1"/>
    <w:rsid w:val="00756756"/>
    <w:rsid w:val="00781436"/>
    <w:rsid w:val="00790A5D"/>
    <w:rsid w:val="00791159"/>
    <w:rsid w:val="007A7E0C"/>
    <w:rsid w:val="007B1551"/>
    <w:rsid w:val="007E5AC9"/>
    <w:rsid w:val="007E6248"/>
    <w:rsid w:val="008004C1"/>
    <w:rsid w:val="00852C96"/>
    <w:rsid w:val="008762CC"/>
    <w:rsid w:val="00880551"/>
    <w:rsid w:val="00885BC3"/>
    <w:rsid w:val="00893156"/>
    <w:rsid w:val="008C24C4"/>
    <w:rsid w:val="008C78C1"/>
    <w:rsid w:val="008D151B"/>
    <w:rsid w:val="008D2848"/>
    <w:rsid w:val="0092658B"/>
    <w:rsid w:val="00935678"/>
    <w:rsid w:val="009463CD"/>
    <w:rsid w:val="009514B9"/>
    <w:rsid w:val="00966BB9"/>
    <w:rsid w:val="00A577E4"/>
    <w:rsid w:val="00A60A04"/>
    <w:rsid w:val="00A7652A"/>
    <w:rsid w:val="00A9012F"/>
    <w:rsid w:val="00AC129C"/>
    <w:rsid w:val="00AC322B"/>
    <w:rsid w:val="00AC7B03"/>
    <w:rsid w:val="00AE0809"/>
    <w:rsid w:val="00AE630E"/>
    <w:rsid w:val="00B2057C"/>
    <w:rsid w:val="00B3641E"/>
    <w:rsid w:val="00B430EC"/>
    <w:rsid w:val="00B477A9"/>
    <w:rsid w:val="00B54B83"/>
    <w:rsid w:val="00B61EAE"/>
    <w:rsid w:val="00BC0596"/>
    <w:rsid w:val="00BC41C6"/>
    <w:rsid w:val="00C0427D"/>
    <w:rsid w:val="00C44FA2"/>
    <w:rsid w:val="00C52F4F"/>
    <w:rsid w:val="00CC7297"/>
    <w:rsid w:val="00CD4DB3"/>
    <w:rsid w:val="00CD6DA0"/>
    <w:rsid w:val="00CF5806"/>
    <w:rsid w:val="00D46F90"/>
    <w:rsid w:val="00D807F2"/>
    <w:rsid w:val="00D83614"/>
    <w:rsid w:val="00DA6575"/>
    <w:rsid w:val="00DB1F26"/>
    <w:rsid w:val="00DD1A36"/>
    <w:rsid w:val="00DE2756"/>
    <w:rsid w:val="00E069F8"/>
    <w:rsid w:val="00E11A0F"/>
    <w:rsid w:val="00E207D9"/>
    <w:rsid w:val="00E20DE8"/>
    <w:rsid w:val="00E35AA7"/>
    <w:rsid w:val="00E35C1D"/>
    <w:rsid w:val="00E816CA"/>
    <w:rsid w:val="00EA7BCF"/>
    <w:rsid w:val="00ED53D8"/>
    <w:rsid w:val="00EE4070"/>
    <w:rsid w:val="00EF30F1"/>
    <w:rsid w:val="00EF6C49"/>
    <w:rsid w:val="00F06BE7"/>
    <w:rsid w:val="00F14480"/>
    <w:rsid w:val="00F42C84"/>
    <w:rsid w:val="00F919FB"/>
    <w:rsid w:val="00F967E6"/>
    <w:rsid w:val="00FB117E"/>
    <w:rsid w:val="00FC055B"/>
    <w:rsid w:val="00FC0D71"/>
    <w:rsid w:val="00FC22D6"/>
    <w:rsid w:val="00FD3331"/>
    <w:rsid w:val="00FD4F4B"/>
    <w:rsid w:val="00FF4075"/>
    <w:rsid w:val="01207B0A"/>
    <w:rsid w:val="01AC396F"/>
    <w:rsid w:val="01C24828"/>
    <w:rsid w:val="02081B30"/>
    <w:rsid w:val="021346ED"/>
    <w:rsid w:val="02203924"/>
    <w:rsid w:val="02663D0C"/>
    <w:rsid w:val="028F2271"/>
    <w:rsid w:val="02A22C3F"/>
    <w:rsid w:val="02BF77F6"/>
    <w:rsid w:val="02CE7B5D"/>
    <w:rsid w:val="02DA5C6B"/>
    <w:rsid w:val="02DD783E"/>
    <w:rsid w:val="02FA0BE7"/>
    <w:rsid w:val="03215DBB"/>
    <w:rsid w:val="03363608"/>
    <w:rsid w:val="035717DD"/>
    <w:rsid w:val="035A73E1"/>
    <w:rsid w:val="0368118D"/>
    <w:rsid w:val="03A5079A"/>
    <w:rsid w:val="03B44E81"/>
    <w:rsid w:val="03C870DE"/>
    <w:rsid w:val="03F434D0"/>
    <w:rsid w:val="04004493"/>
    <w:rsid w:val="04275653"/>
    <w:rsid w:val="04291B1F"/>
    <w:rsid w:val="0452006F"/>
    <w:rsid w:val="049E684C"/>
    <w:rsid w:val="04D577E2"/>
    <w:rsid w:val="04FA44E4"/>
    <w:rsid w:val="05196714"/>
    <w:rsid w:val="05393890"/>
    <w:rsid w:val="05704DD8"/>
    <w:rsid w:val="05AC22B4"/>
    <w:rsid w:val="05E33D9C"/>
    <w:rsid w:val="05E430B7"/>
    <w:rsid w:val="060F12EE"/>
    <w:rsid w:val="0611637A"/>
    <w:rsid w:val="06217E80"/>
    <w:rsid w:val="062270E6"/>
    <w:rsid w:val="064E48E4"/>
    <w:rsid w:val="065A1E9C"/>
    <w:rsid w:val="065B2BDD"/>
    <w:rsid w:val="06677F89"/>
    <w:rsid w:val="068D5165"/>
    <w:rsid w:val="06A9695A"/>
    <w:rsid w:val="06D16AAC"/>
    <w:rsid w:val="071E00B0"/>
    <w:rsid w:val="073F25C3"/>
    <w:rsid w:val="079C1C52"/>
    <w:rsid w:val="07AB7C74"/>
    <w:rsid w:val="07D1037F"/>
    <w:rsid w:val="0815334C"/>
    <w:rsid w:val="08183C31"/>
    <w:rsid w:val="08466206"/>
    <w:rsid w:val="08793FA4"/>
    <w:rsid w:val="087E0CF8"/>
    <w:rsid w:val="089A1627"/>
    <w:rsid w:val="08F57D70"/>
    <w:rsid w:val="09076461"/>
    <w:rsid w:val="090E6DE2"/>
    <w:rsid w:val="09132842"/>
    <w:rsid w:val="09461C36"/>
    <w:rsid w:val="095A3DD5"/>
    <w:rsid w:val="09706942"/>
    <w:rsid w:val="0983332C"/>
    <w:rsid w:val="098A46BA"/>
    <w:rsid w:val="09966F74"/>
    <w:rsid w:val="0998781F"/>
    <w:rsid w:val="09E847C8"/>
    <w:rsid w:val="0A2D57ED"/>
    <w:rsid w:val="0A497B54"/>
    <w:rsid w:val="0A7809B7"/>
    <w:rsid w:val="0A993946"/>
    <w:rsid w:val="0AB17A25"/>
    <w:rsid w:val="0AE30C3E"/>
    <w:rsid w:val="0B1D1270"/>
    <w:rsid w:val="0B226B98"/>
    <w:rsid w:val="0B47520D"/>
    <w:rsid w:val="0B5E1F25"/>
    <w:rsid w:val="0B707349"/>
    <w:rsid w:val="0B7F0CEA"/>
    <w:rsid w:val="0BC34539"/>
    <w:rsid w:val="0BF168C9"/>
    <w:rsid w:val="0C11172B"/>
    <w:rsid w:val="0C4411A9"/>
    <w:rsid w:val="0C7F260C"/>
    <w:rsid w:val="0CB11F5E"/>
    <w:rsid w:val="0CDA72D7"/>
    <w:rsid w:val="0CE331C1"/>
    <w:rsid w:val="0CF2470F"/>
    <w:rsid w:val="0D0D0978"/>
    <w:rsid w:val="0D330277"/>
    <w:rsid w:val="0D513479"/>
    <w:rsid w:val="0D5D5A90"/>
    <w:rsid w:val="0D7F0E7C"/>
    <w:rsid w:val="0D836FE5"/>
    <w:rsid w:val="0D9F625A"/>
    <w:rsid w:val="0E1A6B12"/>
    <w:rsid w:val="0E2D0709"/>
    <w:rsid w:val="0E2F75DE"/>
    <w:rsid w:val="0E3101C4"/>
    <w:rsid w:val="0E4806A0"/>
    <w:rsid w:val="0E6652B5"/>
    <w:rsid w:val="0E8F4521"/>
    <w:rsid w:val="0F0E7B3C"/>
    <w:rsid w:val="0F4F52F8"/>
    <w:rsid w:val="0F8049E1"/>
    <w:rsid w:val="0FA72224"/>
    <w:rsid w:val="0FBA737B"/>
    <w:rsid w:val="0FC46162"/>
    <w:rsid w:val="0FE93378"/>
    <w:rsid w:val="0FEB6387"/>
    <w:rsid w:val="10042CED"/>
    <w:rsid w:val="100813E3"/>
    <w:rsid w:val="105A1AEE"/>
    <w:rsid w:val="10D93F23"/>
    <w:rsid w:val="10FD3E7F"/>
    <w:rsid w:val="110E595A"/>
    <w:rsid w:val="11196324"/>
    <w:rsid w:val="113D5599"/>
    <w:rsid w:val="114A472F"/>
    <w:rsid w:val="11794227"/>
    <w:rsid w:val="117A36A2"/>
    <w:rsid w:val="11A025A1"/>
    <w:rsid w:val="11CC1DD5"/>
    <w:rsid w:val="11FC3DAE"/>
    <w:rsid w:val="11FE4255"/>
    <w:rsid w:val="120C1FB0"/>
    <w:rsid w:val="12135469"/>
    <w:rsid w:val="123B7878"/>
    <w:rsid w:val="124264BB"/>
    <w:rsid w:val="125218C8"/>
    <w:rsid w:val="126A4713"/>
    <w:rsid w:val="129739A4"/>
    <w:rsid w:val="12974F2F"/>
    <w:rsid w:val="129C7C90"/>
    <w:rsid w:val="12A7537F"/>
    <w:rsid w:val="12E16B0E"/>
    <w:rsid w:val="1300779B"/>
    <w:rsid w:val="130152C1"/>
    <w:rsid w:val="131437DB"/>
    <w:rsid w:val="13281B76"/>
    <w:rsid w:val="13561AB1"/>
    <w:rsid w:val="13A652C3"/>
    <w:rsid w:val="13C86766"/>
    <w:rsid w:val="14681A9C"/>
    <w:rsid w:val="14787DF1"/>
    <w:rsid w:val="14AE2216"/>
    <w:rsid w:val="14D07190"/>
    <w:rsid w:val="14D56327"/>
    <w:rsid w:val="14F176E6"/>
    <w:rsid w:val="150D60F6"/>
    <w:rsid w:val="155D0ED5"/>
    <w:rsid w:val="15A00DC2"/>
    <w:rsid w:val="15E2762C"/>
    <w:rsid w:val="15EB74D0"/>
    <w:rsid w:val="161D4390"/>
    <w:rsid w:val="16697EB7"/>
    <w:rsid w:val="16BE0E71"/>
    <w:rsid w:val="16EB2510"/>
    <w:rsid w:val="174165D4"/>
    <w:rsid w:val="17A6779C"/>
    <w:rsid w:val="17DB4333"/>
    <w:rsid w:val="17ED6ED7"/>
    <w:rsid w:val="181D0C32"/>
    <w:rsid w:val="182B7BE7"/>
    <w:rsid w:val="185542B6"/>
    <w:rsid w:val="185A3B87"/>
    <w:rsid w:val="188A6194"/>
    <w:rsid w:val="188C6CDB"/>
    <w:rsid w:val="189F6F4E"/>
    <w:rsid w:val="18A57CAA"/>
    <w:rsid w:val="18B919AD"/>
    <w:rsid w:val="18CD6371"/>
    <w:rsid w:val="194B3B06"/>
    <w:rsid w:val="1952216B"/>
    <w:rsid w:val="195F127D"/>
    <w:rsid w:val="19701DBF"/>
    <w:rsid w:val="1985221E"/>
    <w:rsid w:val="19B14F82"/>
    <w:rsid w:val="1A026A75"/>
    <w:rsid w:val="1A1678A4"/>
    <w:rsid w:val="1A2D01B8"/>
    <w:rsid w:val="1A5D070E"/>
    <w:rsid w:val="1A5E3D1C"/>
    <w:rsid w:val="1A8E2127"/>
    <w:rsid w:val="1AB0639C"/>
    <w:rsid w:val="1B165750"/>
    <w:rsid w:val="1B3F107D"/>
    <w:rsid w:val="1B564A72"/>
    <w:rsid w:val="1B6034CD"/>
    <w:rsid w:val="1B682FBB"/>
    <w:rsid w:val="1B886580"/>
    <w:rsid w:val="1BB00001"/>
    <w:rsid w:val="1BFB4FA4"/>
    <w:rsid w:val="1C313D6B"/>
    <w:rsid w:val="1C4A5F4C"/>
    <w:rsid w:val="1C6A17D8"/>
    <w:rsid w:val="1CD90D06"/>
    <w:rsid w:val="1CF272A8"/>
    <w:rsid w:val="1D0D5C0A"/>
    <w:rsid w:val="1D6F5C49"/>
    <w:rsid w:val="1D927841"/>
    <w:rsid w:val="1DB55626"/>
    <w:rsid w:val="1DF01BA9"/>
    <w:rsid w:val="1DF852A8"/>
    <w:rsid w:val="1E2D1660"/>
    <w:rsid w:val="1E667EB4"/>
    <w:rsid w:val="1EBA74D1"/>
    <w:rsid w:val="1ED55D4D"/>
    <w:rsid w:val="1F260EAA"/>
    <w:rsid w:val="1F333032"/>
    <w:rsid w:val="1F3D1785"/>
    <w:rsid w:val="1F414CD4"/>
    <w:rsid w:val="1F5350F7"/>
    <w:rsid w:val="1F6317DE"/>
    <w:rsid w:val="1F9D0571"/>
    <w:rsid w:val="1FA41499"/>
    <w:rsid w:val="1FAF4A23"/>
    <w:rsid w:val="2000198D"/>
    <w:rsid w:val="20031F69"/>
    <w:rsid w:val="202C6D0A"/>
    <w:rsid w:val="20407D83"/>
    <w:rsid w:val="20481FC5"/>
    <w:rsid w:val="20DD2ECA"/>
    <w:rsid w:val="20E215CF"/>
    <w:rsid w:val="2144404E"/>
    <w:rsid w:val="214C62A1"/>
    <w:rsid w:val="217750CC"/>
    <w:rsid w:val="218444B5"/>
    <w:rsid w:val="223905D4"/>
    <w:rsid w:val="224C5905"/>
    <w:rsid w:val="227604AA"/>
    <w:rsid w:val="22853746"/>
    <w:rsid w:val="22A526D3"/>
    <w:rsid w:val="22E9024C"/>
    <w:rsid w:val="22EE5862"/>
    <w:rsid w:val="22F6506F"/>
    <w:rsid w:val="22F74079"/>
    <w:rsid w:val="22FE5379"/>
    <w:rsid w:val="2318000C"/>
    <w:rsid w:val="2342307D"/>
    <w:rsid w:val="239843B4"/>
    <w:rsid w:val="23B80FA4"/>
    <w:rsid w:val="23DC36B7"/>
    <w:rsid w:val="23E6478B"/>
    <w:rsid w:val="23E95227"/>
    <w:rsid w:val="23FB657B"/>
    <w:rsid w:val="241F7DD4"/>
    <w:rsid w:val="245C2A8B"/>
    <w:rsid w:val="24741D97"/>
    <w:rsid w:val="24786ACD"/>
    <w:rsid w:val="24BE5ED8"/>
    <w:rsid w:val="24CD13DC"/>
    <w:rsid w:val="24D7201C"/>
    <w:rsid w:val="24F904EE"/>
    <w:rsid w:val="250768DD"/>
    <w:rsid w:val="255C2D36"/>
    <w:rsid w:val="255D282B"/>
    <w:rsid w:val="25682D38"/>
    <w:rsid w:val="25AF3D7C"/>
    <w:rsid w:val="25CA3E25"/>
    <w:rsid w:val="25CF7149"/>
    <w:rsid w:val="25EB7B69"/>
    <w:rsid w:val="262D2BED"/>
    <w:rsid w:val="267971E5"/>
    <w:rsid w:val="268F193C"/>
    <w:rsid w:val="26C60AD2"/>
    <w:rsid w:val="26F962C4"/>
    <w:rsid w:val="2739684D"/>
    <w:rsid w:val="273D07CB"/>
    <w:rsid w:val="27463B92"/>
    <w:rsid w:val="276F398E"/>
    <w:rsid w:val="277F0E37"/>
    <w:rsid w:val="278D553F"/>
    <w:rsid w:val="27924AFE"/>
    <w:rsid w:val="27AA600A"/>
    <w:rsid w:val="27C50B45"/>
    <w:rsid w:val="27CE61F9"/>
    <w:rsid w:val="27D52B4D"/>
    <w:rsid w:val="27DF0A06"/>
    <w:rsid w:val="28215D92"/>
    <w:rsid w:val="286A7FF3"/>
    <w:rsid w:val="288B76AF"/>
    <w:rsid w:val="2897671B"/>
    <w:rsid w:val="28A11BD9"/>
    <w:rsid w:val="28A92B89"/>
    <w:rsid w:val="28BA1D43"/>
    <w:rsid w:val="28C4379F"/>
    <w:rsid w:val="28C91369"/>
    <w:rsid w:val="28E8516A"/>
    <w:rsid w:val="28FB693A"/>
    <w:rsid w:val="293B7A68"/>
    <w:rsid w:val="293C71AA"/>
    <w:rsid w:val="293E4722"/>
    <w:rsid w:val="2947104A"/>
    <w:rsid w:val="296F061B"/>
    <w:rsid w:val="297C731B"/>
    <w:rsid w:val="29AD4689"/>
    <w:rsid w:val="29CC7F71"/>
    <w:rsid w:val="29E27DCC"/>
    <w:rsid w:val="2A6E5ACD"/>
    <w:rsid w:val="2A801A41"/>
    <w:rsid w:val="2A8A5588"/>
    <w:rsid w:val="2AB72F26"/>
    <w:rsid w:val="2B6F595F"/>
    <w:rsid w:val="2BBD3821"/>
    <w:rsid w:val="2BC805A5"/>
    <w:rsid w:val="2C167980"/>
    <w:rsid w:val="2C734B38"/>
    <w:rsid w:val="2C821465"/>
    <w:rsid w:val="2CA478ED"/>
    <w:rsid w:val="2CC104ED"/>
    <w:rsid w:val="2CC21867"/>
    <w:rsid w:val="2CC73444"/>
    <w:rsid w:val="2CE11F94"/>
    <w:rsid w:val="2CE14754"/>
    <w:rsid w:val="2D2C7ED0"/>
    <w:rsid w:val="2D34043B"/>
    <w:rsid w:val="2D6329A9"/>
    <w:rsid w:val="2DA21659"/>
    <w:rsid w:val="2DB66F7C"/>
    <w:rsid w:val="2DBC3C19"/>
    <w:rsid w:val="2DC11AE6"/>
    <w:rsid w:val="2E9F57DD"/>
    <w:rsid w:val="2EC604CE"/>
    <w:rsid w:val="2ED46380"/>
    <w:rsid w:val="2ED51684"/>
    <w:rsid w:val="2EE923FD"/>
    <w:rsid w:val="2F670CF0"/>
    <w:rsid w:val="2F704BC7"/>
    <w:rsid w:val="2F8115EC"/>
    <w:rsid w:val="2FD35683"/>
    <w:rsid w:val="2FF72A43"/>
    <w:rsid w:val="3061020D"/>
    <w:rsid w:val="306B2E1B"/>
    <w:rsid w:val="307E3567"/>
    <w:rsid w:val="30A34356"/>
    <w:rsid w:val="30CF1BDE"/>
    <w:rsid w:val="30DE2A8F"/>
    <w:rsid w:val="30F7503F"/>
    <w:rsid w:val="31140B8A"/>
    <w:rsid w:val="313703D4"/>
    <w:rsid w:val="31583C76"/>
    <w:rsid w:val="31720123"/>
    <w:rsid w:val="31DD71CE"/>
    <w:rsid w:val="31FE0EF2"/>
    <w:rsid w:val="322A1277"/>
    <w:rsid w:val="32470AEB"/>
    <w:rsid w:val="32471A4C"/>
    <w:rsid w:val="328530BB"/>
    <w:rsid w:val="32B12408"/>
    <w:rsid w:val="32CD1C87"/>
    <w:rsid w:val="32DB7E02"/>
    <w:rsid w:val="32FD3C3F"/>
    <w:rsid w:val="3305593B"/>
    <w:rsid w:val="330E68D6"/>
    <w:rsid w:val="338268BA"/>
    <w:rsid w:val="33837196"/>
    <w:rsid w:val="33F66828"/>
    <w:rsid w:val="34563267"/>
    <w:rsid w:val="347831DE"/>
    <w:rsid w:val="352315FF"/>
    <w:rsid w:val="353957D4"/>
    <w:rsid w:val="355E3135"/>
    <w:rsid w:val="35A456BE"/>
    <w:rsid w:val="35AE6338"/>
    <w:rsid w:val="35B5122A"/>
    <w:rsid w:val="35C232A3"/>
    <w:rsid w:val="35D755E4"/>
    <w:rsid w:val="36136E69"/>
    <w:rsid w:val="362F2582"/>
    <w:rsid w:val="364169F6"/>
    <w:rsid w:val="36444A52"/>
    <w:rsid w:val="367479D5"/>
    <w:rsid w:val="369C096A"/>
    <w:rsid w:val="36D13079"/>
    <w:rsid w:val="37070849"/>
    <w:rsid w:val="37823B1F"/>
    <w:rsid w:val="37945AB8"/>
    <w:rsid w:val="37B9108B"/>
    <w:rsid w:val="3814543F"/>
    <w:rsid w:val="38363C4D"/>
    <w:rsid w:val="389B250E"/>
    <w:rsid w:val="38AC0B69"/>
    <w:rsid w:val="38FC426B"/>
    <w:rsid w:val="39190726"/>
    <w:rsid w:val="3928313F"/>
    <w:rsid w:val="397E446C"/>
    <w:rsid w:val="39953148"/>
    <w:rsid w:val="39D709A6"/>
    <w:rsid w:val="39D8471E"/>
    <w:rsid w:val="39E21ACC"/>
    <w:rsid w:val="3A7A0F17"/>
    <w:rsid w:val="3A8328DC"/>
    <w:rsid w:val="3A9C399E"/>
    <w:rsid w:val="3AAD3D13"/>
    <w:rsid w:val="3ACC6031"/>
    <w:rsid w:val="3B0A0908"/>
    <w:rsid w:val="3B1A1116"/>
    <w:rsid w:val="3B29617F"/>
    <w:rsid w:val="3B641B6E"/>
    <w:rsid w:val="3B660153"/>
    <w:rsid w:val="3BC3575A"/>
    <w:rsid w:val="3BF515B8"/>
    <w:rsid w:val="3C026BC4"/>
    <w:rsid w:val="3C2E19DF"/>
    <w:rsid w:val="3C7A1ABD"/>
    <w:rsid w:val="3CD107D2"/>
    <w:rsid w:val="3D163594"/>
    <w:rsid w:val="3D202664"/>
    <w:rsid w:val="3D271C45"/>
    <w:rsid w:val="3D7C40EE"/>
    <w:rsid w:val="3DA85FB5"/>
    <w:rsid w:val="3E3C19A0"/>
    <w:rsid w:val="3E6842C3"/>
    <w:rsid w:val="3E727724"/>
    <w:rsid w:val="3E9A0C7B"/>
    <w:rsid w:val="3EEB004E"/>
    <w:rsid w:val="3EEC6CA2"/>
    <w:rsid w:val="3EFC6867"/>
    <w:rsid w:val="3F432C27"/>
    <w:rsid w:val="3F735C46"/>
    <w:rsid w:val="3F847D1A"/>
    <w:rsid w:val="3FA37FCA"/>
    <w:rsid w:val="4031755D"/>
    <w:rsid w:val="403A3AC5"/>
    <w:rsid w:val="404A4708"/>
    <w:rsid w:val="40692574"/>
    <w:rsid w:val="40A42264"/>
    <w:rsid w:val="40FB141E"/>
    <w:rsid w:val="40FC3C26"/>
    <w:rsid w:val="411424E0"/>
    <w:rsid w:val="41292859"/>
    <w:rsid w:val="41517290"/>
    <w:rsid w:val="416507E2"/>
    <w:rsid w:val="4170615F"/>
    <w:rsid w:val="41C2018E"/>
    <w:rsid w:val="41D4020E"/>
    <w:rsid w:val="41F145CF"/>
    <w:rsid w:val="41F30347"/>
    <w:rsid w:val="42331D84"/>
    <w:rsid w:val="425C62A9"/>
    <w:rsid w:val="42742144"/>
    <w:rsid w:val="429B79FB"/>
    <w:rsid w:val="429F74FA"/>
    <w:rsid w:val="42D85AFA"/>
    <w:rsid w:val="430F7403"/>
    <w:rsid w:val="43234C5C"/>
    <w:rsid w:val="433566BB"/>
    <w:rsid w:val="43543EAA"/>
    <w:rsid w:val="437D25BE"/>
    <w:rsid w:val="44643E9D"/>
    <w:rsid w:val="446A783D"/>
    <w:rsid w:val="44A45929"/>
    <w:rsid w:val="44B07AD4"/>
    <w:rsid w:val="44BA69DF"/>
    <w:rsid w:val="44D65710"/>
    <w:rsid w:val="44E20335"/>
    <w:rsid w:val="44E2177C"/>
    <w:rsid w:val="44FB2562"/>
    <w:rsid w:val="453E5D7D"/>
    <w:rsid w:val="457B6435"/>
    <w:rsid w:val="46241AB1"/>
    <w:rsid w:val="464053D0"/>
    <w:rsid w:val="469C74F8"/>
    <w:rsid w:val="469F4B9D"/>
    <w:rsid w:val="479318C7"/>
    <w:rsid w:val="47A53E92"/>
    <w:rsid w:val="47E20578"/>
    <w:rsid w:val="48005DF3"/>
    <w:rsid w:val="48092A6F"/>
    <w:rsid w:val="481F2A4D"/>
    <w:rsid w:val="48457423"/>
    <w:rsid w:val="4860600B"/>
    <w:rsid w:val="48E31D76"/>
    <w:rsid w:val="49125B9D"/>
    <w:rsid w:val="4913307D"/>
    <w:rsid w:val="496E5253"/>
    <w:rsid w:val="497371DB"/>
    <w:rsid w:val="49A212C4"/>
    <w:rsid w:val="4A4F10B6"/>
    <w:rsid w:val="4A7E1E79"/>
    <w:rsid w:val="4A9F4304"/>
    <w:rsid w:val="4AB022CC"/>
    <w:rsid w:val="4AB37DDB"/>
    <w:rsid w:val="4B1A5F00"/>
    <w:rsid w:val="4B38237C"/>
    <w:rsid w:val="4B3C6087"/>
    <w:rsid w:val="4B945566"/>
    <w:rsid w:val="4BA426B2"/>
    <w:rsid w:val="4BE41DA9"/>
    <w:rsid w:val="4BF533DE"/>
    <w:rsid w:val="4C1A4723"/>
    <w:rsid w:val="4C492AF6"/>
    <w:rsid w:val="4CA976ED"/>
    <w:rsid w:val="4D5604F0"/>
    <w:rsid w:val="4D88596F"/>
    <w:rsid w:val="4DF10050"/>
    <w:rsid w:val="4E586565"/>
    <w:rsid w:val="4E9A5B67"/>
    <w:rsid w:val="4EAF55F6"/>
    <w:rsid w:val="4EBE3617"/>
    <w:rsid w:val="4EE37B08"/>
    <w:rsid w:val="4F001FF8"/>
    <w:rsid w:val="4F2D2859"/>
    <w:rsid w:val="4F9928BC"/>
    <w:rsid w:val="4FBD2B5D"/>
    <w:rsid w:val="4FD55941"/>
    <w:rsid w:val="502D2B39"/>
    <w:rsid w:val="5051758D"/>
    <w:rsid w:val="50C150DE"/>
    <w:rsid w:val="50EB5948"/>
    <w:rsid w:val="512E4DC3"/>
    <w:rsid w:val="514258B1"/>
    <w:rsid w:val="51754FB1"/>
    <w:rsid w:val="51E57C54"/>
    <w:rsid w:val="52151C14"/>
    <w:rsid w:val="52334841"/>
    <w:rsid w:val="528715C1"/>
    <w:rsid w:val="52AA2CA4"/>
    <w:rsid w:val="52C316FF"/>
    <w:rsid w:val="52D513F8"/>
    <w:rsid w:val="52DE3A43"/>
    <w:rsid w:val="5311062D"/>
    <w:rsid w:val="5338205E"/>
    <w:rsid w:val="535F5E29"/>
    <w:rsid w:val="53C41B44"/>
    <w:rsid w:val="53FB4B6C"/>
    <w:rsid w:val="540458DF"/>
    <w:rsid w:val="540E2BDB"/>
    <w:rsid w:val="544467E1"/>
    <w:rsid w:val="54736BB6"/>
    <w:rsid w:val="54A07300"/>
    <w:rsid w:val="54C811C0"/>
    <w:rsid w:val="54EB4EAE"/>
    <w:rsid w:val="54FA0CBA"/>
    <w:rsid w:val="55395371"/>
    <w:rsid w:val="554F18E1"/>
    <w:rsid w:val="5555027F"/>
    <w:rsid w:val="557C6F90"/>
    <w:rsid w:val="5583336E"/>
    <w:rsid w:val="55903B73"/>
    <w:rsid w:val="560665CD"/>
    <w:rsid w:val="56114DE8"/>
    <w:rsid w:val="56382597"/>
    <w:rsid w:val="5638766D"/>
    <w:rsid w:val="563930F6"/>
    <w:rsid w:val="56891267"/>
    <w:rsid w:val="568E4770"/>
    <w:rsid w:val="56CF0F2B"/>
    <w:rsid w:val="56DA342C"/>
    <w:rsid w:val="56FC21BE"/>
    <w:rsid w:val="56FE092E"/>
    <w:rsid w:val="572052E3"/>
    <w:rsid w:val="5727398D"/>
    <w:rsid w:val="57581DFC"/>
    <w:rsid w:val="578E6376"/>
    <w:rsid w:val="578F437F"/>
    <w:rsid w:val="57A71560"/>
    <w:rsid w:val="57B60CAE"/>
    <w:rsid w:val="57D92756"/>
    <w:rsid w:val="580F51B9"/>
    <w:rsid w:val="583921A6"/>
    <w:rsid w:val="5840131A"/>
    <w:rsid w:val="58895E29"/>
    <w:rsid w:val="58C133E1"/>
    <w:rsid w:val="58CC04D0"/>
    <w:rsid w:val="58DA7713"/>
    <w:rsid w:val="58ED38EB"/>
    <w:rsid w:val="59543E9D"/>
    <w:rsid w:val="5976214D"/>
    <w:rsid w:val="59814824"/>
    <w:rsid w:val="59940BE5"/>
    <w:rsid w:val="59C81C62"/>
    <w:rsid w:val="59CF3ABC"/>
    <w:rsid w:val="59D83CAB"/>
    <w:rsid w:val="5A041C26"/>
    <w:rsid w:val="5A1808E7"/>
    <w:rsid w:val="5A237C1C"/>
    <w:rsid w:val="5A2C2E14"/>
    <w:rsid w:val="5A3438A6"/>
    <w:rsid w:val="5A4E660B"/>
    <w:rsid w:val="5ACF4352"/>
    <w:rsid w:val="5ADE5539"/>
    <w:rsid w:val="5B00704C"/>
    <w:rsid w:val="5B187061"/>
    <w:rsid w:val="5B7A2B70"/>
    <w:rsid w:val="5B9F22AF"/>
    <w:rsid w:val="5BA955AA"/>
    <w:rsid w:val="5BB22C15"/>
    <w:rsid w:val="5C3C0E89"/>
    <w:rsid w:val="5C5E3CF6"/>
    <w:rsid w:val="5C6A5437"/>
    <w:rsid w:val="5C8D0DD4"/>
    <w:rsid w:val="5CFB2514"/>
    <w:rsid w:val="5D0A0DEA"/>
    <w:rsid w:val="5D4B6E32"/>
    <w:rsid w:val="5D51234E"/>
    <w:rsid w:val="5DC23524"/>
    <w:rsid w:val="5DF8686C"/>
    <w:rsid w:val="5E3473E4"/>
    <w:rsid w:val="5F0E7DC6"/>
    <w:rsid w:val="5F2A0B43"/>
    <w:rsid w:val="5F423911"/>
    <w:rsid w:val="5F695838"/>
    <w:rsid w:val="5F6B37BB"/>
    <w:rsid w:val="5F7F2DC3"/>
    <w:rsid w:val="5F8A5716"/>
    <w:rsid w:val="5FBA3DFB"/>
    <w:rsid w:val="5FD55D92"/>
    <w:rsid w:val="60174EE6"/>
    <w:rsid w:val="601F5EA1"/>
    <w:rsid w:val="602A665E"/>
    <w:rsid w:val="60326625"/>
    <w:rsid w:val="606D6A04"/>
    <w:rsid w:val="60A32C9E"/>
    <w:rsid w:val="60BD1DF5"/>
    <w:rsid w:val="611F7B2B"/>
    <w:rsid w:val="61307DA3"/>
    <w:rsid w:val="614147D4"/>
    <w:rsid w:val="614A7F36"/>
    <w:rsid w:val="61A3723C"/>
    <w:rsid w:val="61A52F01"/>
    <w:rsid w:val="61D84642"/>
    <w:rsid w:val="61DA0784"/>
    <w:rsid w:val="61F268F4"/>
    <w:rsid w:val="62782477"/>
    <w:rsid w:val="62786F1B"/>
    <w:rsid w:val="627D04A3"/>
    <w:rsid w:val="62937616"/>
    <w:rsid w:val="62A25746"/>
    <w:rsid w:val="62BF39B3"/>
    <w:rsid w:val="62C30BC1"/>
    <w:rsid w:val="63141479"/>
    <w:rsid w:val="633E25F8"/>
    <w:rsid w:val="634B5FAA"/>
    <w:rsid w:val="638437DA"/>
    <w:rsid w:val="63CE7227"/>
    <w:rsid w:val="64274599"/>
    <w:rsid w:val="642D54E3"/>
    <w:rsid w:val="64354398"/>
    <w:rsid w:val="649D6EAE"/>
    <w:rsid w:val="64D4733A"/>
    <w:rsid w:val="64D53AFD"/>
    <w:rsid w:val="652C2B63"/>
    <w:rsid w:val="654523B9"/>
    <w:rsid w:val="65734C14"/>
    <w:rsid w:val="6585264F"/>
    <w:rsid w:val="65A5163A"/>
    <w:rsid w:val="65A73073"/>
    <w:rsid w:val="65FA13F5"/>
    <w:rsid w:val="660E1E6E"/>
    <w:rsid w:val="66232CDC"/>
    <w:rsid w:val="66436435"/>
    <w:rsid w:val="668A09CB"/>
    <w:rsid w:val="66E33F4E"/>
    <w:rsid w:val="67072B18"/>
    <w:rsid w:val="6708338B"/>
    <w:rsid w:val="672C3950"/>
    <w:rsid w:val="6759039D"/>
    <w:rsid w:val="6760229B"/>
    <w:rsid w:val="679118E5"/>
    <w:rsid w:val="67991417"/>
    <w:rsid w:val="67A31E11"/>
    <w:rsid w:val="67B13341"/>
    <w:rsid w:val="67B77B23"/>
    <w:rsid w:val="67EA7D65"/>
    <w:rsid w:val="67F27D5B"/>
    <w:rsid w:val="6828049B"/>
    <w:rsid w:val="68775895"/>
    <w:rsid w:val="68D20DB7"/>
    <w:rsid w:val="68DE358E"/>
    <w:rsid w:val="68DF5C5C"/>
    <w:rsid w:val="68E048D2"/>
    <w:rsid w:val="68F67681"/>
    <w:rsid w:val="68FD0876"/>
    <w:rsid w:val="696A6892"/>
    <w:rsid w:val="69940A29"/>
    <w:rsid w:val="69B774DD"/>
    <w:rsid w:val="6A413A96"/>
    <w:rsid w:val="6A9C6F1F"/>
    <w:rsid w:val="6AF45087"/>
    <w:rsid w:val="6AF71EFF"/>
    <w:rsid w:val="6B00246C"/>
    <w:rsid w:val="6B043D92"/>
    <w:rsid w:val="6B263CF8"/>
    <w:rsid w:val="6B9D6FA6"/>
    <w:rsid w:val="6BA25D54"/>
    <w:rsid w:val="6BBC1DEA"/>
    <w:rsid w:val="6C094140"/>
    <w:rsid w:val="6C1411C6"/>
    <w:rsid w:val="6C9C3FDD"/>
    <w:rsid w:val="6CB24E25"/>
    <w:rsid w:val="6CBE5344"/>
    <w:rsid w:val="6CFA6FB3"/>
    <w:rsid w:val="6CFC30F5"/>
    <w:rsid w:val="6D1A412B"/>
    <w:rsid w:val="6D3B0387"/>
    <w:rsid w:val="6D3E79A6"/>
    <w:rsid w:val="6DB36F60"/>
    <w:rsid w:val="6E015AED"/>
    <w:rsid w:val="6E0D2C28"/>
    <w:rsid w:val="6E166FE8"/>
    <w:rsid w:val="6E8C2E06"/>
    <w:rsid w:val="6E9E69AC"/>
    <w:rsid w:val="6EC32CCC"/>
    <w:rsid w:val="6ECB392F"/>
    <w:rsid w:val="6F0D1B93"/>
    <w:rsid w:val="6F4B05B0"/>
    <w:rsid w:val="6F77126D"/>
    <w:rsid w:val="6FD047A9"/>
    <w:rsid w:val="70091AE4"/>
    <w:rsid w:val="703B6323"/>
    <w:rsid w:val="70982068"/>
    <w:rsid w:val="709D33EA"/>
    <w:rsid w:val="70CE5B4E"/>
    <w:rsid w:val="70F76BB3"/>
    <w:rsid w:val="70F92BF6"/>
    <w:rsid w:val="71142EB0"/>
    <w:rsid w:val="712F447F"/>
    <w:rsid w:val="713A4D9B"/>
    <w:rsid w:val="714D20F8"/>
    <w:rsid w:val="71791D68"/>
    <w:rsid w:val="71945A62"/>
    <w:rsid w:val="7197448A"/>
    <w:rsid w:val="71AB0F0B"/>
    <w:rsid w:val="71BE352D"/>
    <w:rsid w:val="71DB20DB"/>
    <w:rsid w:val="71EF609D"/>
    <w:rsid w:val="72143C26"/>
    <w:rsid w:val="72721367"/>
    <w:rsid w:val="72774F30"/>
    <w:rsid w:val="72872262"/>
    <w:rsid w:val="72930C07"/>
    <w:rsid w:val="72E72D01"/>
    <w:rsid w:val="7303654F"/>
    <w:rsid w:val="730421AC"/>
    <w:rsid w:val="73132F53"/>
    <w:rsid w:val="73655441"/>
    <w:rsid w:val="73726A6F"/>
    <w:rsid w:val="739A469C"/>
    <w:rsid w:val="73B7778C"/>
    <w:rsid w:val="73DB0C07"/>
    <w:rsid w:val="740D3ED9"/>
    <w:rsid w:val="74107F08"/>
    <w:rsid w:val="742503C2"/>
    <w:rsid w:val="7471783F"/>
    <w:rsid w:val="7530326D"/>
    <w:rsid w:val="75842A89"/>
    <w:rsid w:val="75FB0F9D"/>
    <w:rsid w:val="76487F5B"/>
    <w:rsid w:val="765B7C8E"/>
    <w:rsid w:val="766253AE"/>
    <w:rsid w:val="76832D41"/>
    <w:rsid w:val="76C83167"/>
    <w:rsid w:val="76D812DE"/>
    <w:rsid w:val="76DB2B7D"/>
    <w:rsid w:val="772D74F0"/>
    <w:rsid w:val="77765511"/>
    <w:rsid w:val="77A12519"/>
    <w:rsid w:val="77A46518"/>
    <w:rsid w:val="77D8624C"/>
    <w:rsid w:val="77EE08AC"/>
    <w:rsid w:val="77F26725"/>
    <w:rsid w:val="77F71C38"/>
    <w:rsid w:val="78040A70"/>
    <w:rsid w:val="780D6D66"/>
    <w:rsid w:val="7834655D"/>
    <w:rsid w:val="785520A3"/>
    <w:rsid w:val="785F5170"/>
    <w:rsid w:val="78820DED"/>
    <w:rsid w:val="78911745"/>
    <w:rsid w:val="78A15BEF"/>
    <w:rsid w:val="78A71002"/>
    <w:rsid w:val="78B4672A"/>
    <w:rsid w:val="78C82A3C"/>
    <w:rsid w:val="78DB50B6"/>
    <w:rsid w:val="791B6672"/>
    <w:rsid w:val="792077B9"/>
    <w:rsid w:val="79444A09"/>
    <w:rsid w:val="79962A15"/>
    <w:rsid w:val="79DE2E2E"/>
    <w:rsid w:val="7A401675"/>
    <w:rsid w:val="7A5F4D15"/>
    <w:rsid w:val="7A620359"/>
    <w:rsid w:val="7A911ED0"/>
    <w:rsid w:val="7A9124FA"/>
    <w:rsid w:val="7ACE3EFB"/>
    <w:rsid w:val="7ADA13F9"/>
    <w:rsid w:val="7AE446F6"/>
    <w:rsid w:val="7AF4245F"/>
    <w:rsid w:val="7AFD04DE"/>
    <w:rsid w:val="7B505F72"/>
    <w:rsid w:val="7B587793"/>
    <w:rsid w:val="7BF74E24"/>
    <w:rsid w:val="7C010892"/>
    <w:rsid w:val="7C05472F"/>
    <w:rsid w:val="7C385699"/>
    <w:rsid w:val="7C9B20E9"/>
    <w:rsid w:val="7CA0464C"/>
    <w:rsid w:val="7D2D789C"/>
    <w:rsid w:val="7D866A4F"/>
    <w:rsid w:val="7DA6201A"/>
    <w:rsid w:val="7DAB5478"/>
    <w:rsid w:val="7DB87774"/>
    <w:rsid w:val="7DC50EB9"/>
    <w:rsid w:val="7DEB5D9B"/>
    <w:rsid w:val="7E1846B6"/>
    <w:rsid w:val="7E2C5967"/>
    <w:rsid w:val="7E586182"/>
    <w:rsid w:val="7E6F077A"/>
    <w:rsid w:val="7E85604D"/>
    <w:rsid w:val="7E8B30DA"/>
    <w:rsid w:val="7EAD4A12"/>
    <w:rsid w:val="7EAF501B"/>
    <w:rsid w:val="7EFD43DD"/>
    <w:rsid w:val="7F0C34CD"/>
    <w:rsid w:val="7F0E018A"/>
    <w:rsid w:val="7F427C3D"/>
    <w:rsid w:val="7FB27EF7"/>
    <w:rsid w:val="7FDD4F77"/>
    <w:rsid w:val="7FE64A6C"/>
    <w:rsid w:val="7FFF40B3"/>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iPriority="0" w:name="heading 5"/>
    <w:lsdException w:qFormat="1" w:unhideWhenUsed="0" w:uiPriority="9" w:semiHidden="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nhideWhenUsed="0" w:uiPriority="0" w:semiHidden="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semiHidden="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qFormat="1"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semiHidden="0" w:name="Normal Table"/>
    <w:lsdException w:qFormat="1"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2"/>
      <w:lang w:val="en-US" w:eastAsia="zh-CN" w:bidi="ar-SA"/>
    </w:rPr>
  </w:style>
  <w:style w:type="paragraph" w:styleId="2">
    <w:name w:val="heading 2"/>
    <w:basedOn w:val="1"/>
    <w:next w:val="3"/>
    <w:link w:val="24"/>
    <w:qFormat/>
    <w:uiPriority w:val="0"/>
    <w:pPr>
      <w:keepNext/>
      <w:keepLines/>
      <w:spacing w:before="260" w:after="260" w:line="416" w:lineRule="auto"/>
      <w:outlineLvl w:val="1"/>
    </w:pPr>
    <w:rPr>
      <w:rFonts w:ascii="Arial" w:hAnsi="Arial" w:eastAsia="黑体"/>
      <w:b/>
      <w:bCs/>
      <w:sz w:val="32"/>
      <w:szCs w:val="32"/>
    </w:rPr>
  </w:style>
  <w:style w:type="paragraph" w:styleId="4">
    <w:name w:val="heading 3"/>
    <w:basedOn w:val="1"/>
    <w:next w:val="1"/>
    <w:qFormat/>
    <w:uiPriority w:val="0"/>
    <w:pPr>
      <w:keepNext/>
      <w:keepLines/>
      <w:numPr>
        <w:ilvl w:val="2"/>
        <w:numId w:val="1"/>
      </w:numPr>
      <w:adjustRightInd w:val="0"/>
      <w:spacing w:before="260" w:after="260" w:line="416" w:lineRule="atLeast"/>
      <w:jc w:val="left"/>
      <w:textAlignment w:val="baseline"/>
      <w:outlineLvl w:val="2"/>
    </w:pPr>
    <w:rPr>
      <w:b/>
      <w:kern w:val="0"/>
      <w:sz w:val="30"/>
      <w:szCs w:val="20"/>
    </w:rPr>
  </w:style>
  <w:style w:type="paragraph" w:styleId="5">
    <w:name w:val="heading 4"/>
    <w:basedOn w:val="1"/>
    <w:next w:val="1"/>
    <w:qFormat/>
    <w:uiPriority w:val="0"/>
    <w:pPr>
      <w:keepNext/>
      <w:spacing w:line="460" w:lineRule="exact"/>
      <w:outlineLvl w:val="3"/>
    </w:pPr>
    <w:rPr>
      <w:rFonts w:ascii="宋体" w:hAnsi="宋体"/>
      <w:sz w:val="24"/>
    </w:rPr>
  </w:style>
  <w:style w:type="paragraph" w:styleId="6">
    <w:name w:val="heading 6"/>
    <w:basedOn w:val="1"/>
    <w:next w:val="1"/>
    <w:qFormat/>
    <w:uiPriority w:val="9"/>
    <w:pPr>
      <w:ind w:left="140"/>
      <w:outlineLvl w:val="5"/>
    </w:pPr>
    <w:rPr>
      <w:rFonts w:ascii="Microsoft JhengHei" w:hAnsi="Microsoft JhengHei" w:eastAsia="Microsoft JhengHei"/>
      <w:b/>
      <w:bCs/>
      <w:sz w:val="24"/>
      <w:szCs w:val="24"/>
    </w:rPr>
  </w:style>
  <w:style w:type="character" w:default="1" w:styleId="19">
    <w:name w:val="Default Paragraph Font"/>
    <w:unhideWhenUsed/>
    <w:qFormat/>
    <w:uiPriority w:val="1"/>
  </w:style>
  <w:style w:type="table" w:default="1" w:styleId="17">
    <w:name w:val="Normal Table"/>
    <w:unhideWhenUsed/>
    <w:qFormat/>
    <w:uiPriority w:val="99"/>
    <w:tblPr>
      <w:tblCellMar>
        <w:top w:w="0" w:type="dxa"/>
        <w:left w:w="108" w:type="dxa"/>
        <w:bottom w:w="0" w:type="dxa"/>
        <w:right w:w="108" w:type="dxa"/>
      </w:tblCellMar>
    </w:tblPr>
  </w:style>
  <w:style w:type="paragraph" w:styleId="3">
    <w:name w:val="Normal Indent"/>
    <w:basedOn w:val="1"/>
    <w:qFormat/>
    <w:uiPriority w:val="0"/>
    <w:pPr>
      <w:ind w:firstLine="420" w:firstLineChars="200"/>
    </w:pPr>
    <w:rPr>
      <w:rFonts w:ascii="Times New Roman" w:hAnsi="Times New Roman"/>
      <w:szCs w:val="21"/>
    </w:rPr>
  </w:style>
  <w:style w:type="paragraph" w:styleId="7">
    <w:name w:val="caption"/>
    <w:basedOn w:val="1"/>
    <w:next w:val="1"/>
    <w:qFormat/>
    <w:uiPriority w:val="0"/>
    <w:rPr>
      <w:rFonts w:ascii="Arial" w:hAnsi="Arial" w:eastAsia="黑体" w:cs="Arial"/>
      <w:sz w:val="20"/>
      <w:szCs w:val="20"/>
    </w:rPr>
  </w:style>
  <w:style w:type="paragraph" w:styleId="8">
    <w:name w:val="annotation text"/>
    <w:basedOn w:val="1"/>
    <w:link w:val="25"/>
    <w:qFormat/>
    <w:uiPriority w:val="0"/>
    <w:pPr>
      <w:jc w:val="left"/>
    </w:pPr>
  </w:style>
  <w:style w:type="paragraph" w:styleId="9">
    <w:name w:val="Body Text 3"/>
    <w:basedOn w:val="1"/>
    <w:qFormat/>
    <w:uiPriority w:val="0"/>
    <w:pPr>
      <w:spacing w:after="120"/>
    </w:pPr>
    <w:rPr>
      <w:sz w:val="16"/>
      <w:szCs w:val="16"/>
    </w:rPr>
  </w:style>
  <w:style w:type="paragraph" w:styleId="10">
    <w:name w:val="Body Text"/>
    <w:basedOn w:val="1"/>
    <w:qFormat/>
    <w:uiPriority w:val="0"/>
    <w:pPr>
      <w:spacing w:line="500" w:lineRule="exact"/>
    </w:pPr>
    <w:rPr>
      <w:rFonts w:ascii="宋体" w:hAnsi="宋体"/>
      <w:sz w:val="24"/>
    </w:rPr>
  </w:style>
  <w:style w:type="paragraph" w:styleId="11">
    <w:name w:val="Plain Text"/>
    <w:basedOn w:val="1"/>
    <w:qFormat/>
    <w:uiPriority w:val="0"/>
    <w:rPr>
      <w:rFonts w:ascii="宋体" w:hAnsi="Courier New"/>
      <w:szCs w:val="21"/>
    </w:rPr>
  </w:style>
  <w:style w:type="paragraph" w:styleId="12">
    <w:name w:val="Balloon Text"/>
    <w:basedOn w:val="1"/>
    <w:link w:val="26"/>
    <w:qFormat/>
    <w:uiPriority w:val="0"/>
    <w:rPr>
      <w:sz w:val="18"/>
      <w:szCs w:val="18"/>
    </w:rPr>
  </w:style>
  <w:style w:type="paragraph" w:styleId="13">
    <w:name w:val="footer"/>
    <w:basedOn w:val="1"/>
    <w:qFormat/>
    <w:uiPriority w:val="0"/>
    <w:pPr>
      <w:tabs>
        <w:tab w:val="center" w:pos="4153"/>
        <w:tab w:val="right" w:pos="8306"/>
      </w:tabs>
      <w:snapToGrid w:val="0"/>
      <w:jc w:val="left"/>
    </w:pPr>
    <w:rPr>
      <w:sz w:val="18"/>
    </w:rPr>
  </w:style>
  <w:style w:type="paragraph" w:styleId="14">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15">
    <w:name w:val="Normal (Web)"/>
    <w:basedOn w:val="1"/>
    <w:qFormat/>
    <w:uiPriority w:val="0"/>
    <w:pPr>
      <w:jc w:val="left"/>
    </w:pPr>
    <w:rPr>
      <w:rFonts w:cs="Times New Roman"/>
      <w:kern w:val="0"/>
      <w:sz w:val="24"/>
    </w:rPr>
  </w:style>
  <w:style w:type="paragraph" w:styleId="16">
    <w:name w:val="annotation subject"/>
    <w:basedOn w:val="8"/>
    <w:next w:val="8"/>
    <w:link w:val="27"/>
    <w:qFormat/>
    <w:uiPriority w:val="0"/>
    <w:rPr>
      <w:b/>
      <w:bCs/>
    </w:rPr>
  </w:style>
  <w:style w:type="table" w:styleId="18">
    <w:name w:val="Table Grid"/>
    <w:basedOn w:val="17"/>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0">
    <w:name w:val="Strong"/>
    <w:basedOn w:val="19"/>
    <w:qFormat/>
    <w:uiPriority w:val="0"/>
    <w:rPr>
      <w:b/>
    </w:rPr>
  </w:style>
  <w:style w:type="character" w:styleId="21">
    <w:name w:val="page number"/>
    <w:qFormat/>
    <w:uiPriority w:val="0"/>
  </w:style>
  <w:style w:type="character" w:styleId="22">
    <w:name w:val="Hyperlink"/>
    <w:qFormat/>
    <w:uiPriority w:val="0"/>
    <w:rPr>
      <w:rFonts w:hint="eastAsia" w:ascii="宋体" w:hAnsi="宋体" w:eastAsia="宋体" w:cs="宋体"/>
      <w:color w:val="000000"/>
      <w:sz w:val="21"/>
      <w:szCs w:val="21"/>
      <w:u w:val="none"/>
    </w:rPr>
  </w:style>
  <w:style w:type="character" w:styleId="23">
    <w:name w:val="annotation reference"/>
    <w:qFormat/>
    <w:uiPriority w:val="0"/>
    <w:rPr>
      <w:sz w:val="21"/>
      <w:szCs w:val="21"/>
    </w:rPr>
  </w:style>
  <w:style w:type="character" w:customStyle="1" w:styleId="24">
    <w:name w:val="标题 2 字符"/>
    <w:link w:val="2"/>
    <w:qFormat/>
    <w:uiPriority w:val="0"/>
    <w:rPr>
      <w:rFonts w:hint="default" w:ascii="Arial" w:hAnsi="Arial" w:eastAsia="黑体"/>
      <w:b/>
      <w:bCs/>
      <w:sz w:val="32"/>
      <w:szCs w:val="32"/>
    </w:rPr>
  </w:style>
  <w:style w:type="character" w:customStyle="1" w:styleId="25">
    <w:name w:val="批注文字 字符"/>
    <w:link w:val="8"/>
    <w:qFormat/>
    <w:uiPriority w:val="0"/>
    <w:rPr>
      <w:rFonts w:ascii="Calibri" w:hAnsi="Calibri" w:cs="Times New Roman"/>
      <w:kern w:val="2"/>
      <w:sz w:val="21"/>
      <w:szCs w:val="22"/>
    </w:rPr>
  </w:style>
  <w:style w:type="character" w:customStyle="1" w:styleId="26">
    <w:name w:val="批注框文本 字符"/>
    <w:link w:val="12"/>
    <w:qFormat/>
    <w:uiPriority w:val="0"/>
    <w:rPr>
      <w:rFonts w:ascii="Calibri" w:hAnsi="Calibri" w:cs="Times New Roman"/>
      <w:kern w:val="2"/>
      <w:sz w:val="18"/>
      <w:szCs w:val="18"/>
    </w:rPr>
  </w:style>
  <w:style w:type="character" w:customStyle="1" w:styleId="27">
    <w:name w:val="批注主题 字符"/>
    <w:link w:val="16"/>
    <w:qFormat/>
    <w:uiPriority w:val="0"/>
    <w:rPr>
      <w:rFonts w:ascii="Calibri" w:hAnsi="Calibri" w:cs="Times New Roman"/>
      <w:b/>
      <w:bCs/>
      <w:kern w:val="2"/>
      <w:sz w:val="21"/>
      <w:szCs w:val="22"/>
    </w:rPr>
  </w:style>
  <w:style w:type="paragraph" w:customStyle="1" w:styleId="28">
    <w:name w:val="正文1"/>
    <w:qFormat/>
    <w:uiPriority w:val="0"/>
    <w:pPr>
      <w:widowControl w:val="0"/>
      <w:jc w:val="both"/>
    </w:pPr>
    <w:rPr>
      <w:rFonts w:hint="eastAsia" w:ascii="Calibri" w:hAnsi="Calibri" w:eastAsia="宋体" w:cs="Times New Roman"/>
      <w:kern w:val="2"/>
      <w:sz w:val="21"/>
      <w:szCs w:val="22"/>
      <w:lang w:val="en-US" w:eastAsia="zh-CN" w:bidi="ar-SA"/>
    </w:rPr>
  </w:style>
  <w:style w:type="paragraph" w:customStyle="1" w:styleId="29">
    <w:name w:val="表格文字"/>
    <w:basedOn w:val="1"/>
    <w:qFormat/>
    <w:uiPriority w:val="0"/>
    <w:pPr>
      <w:spacing w:before="25" w:after="25"/>
      <w:jc w:val="left"/>
    </w:pPr>
    <w:rPr>
      <w:bCs/>
      <w:spacing w:val="10"/>
      <w:kern w:val="0"/>
      <w:sz w:val="24"/>
      <w:szCs w:val="20"/>
    </w:rPr>
  </w:style>
  <w:style w:type="paragraph" w:customStyle="1" w:styleId="30">
    <w:name w:val="题注5"/>
    <w:basedOn w:val="1"/>
    <w:next w:val="7"/>
    <w:qFormat/>
    <w:uiPriority w:val="0"/>
    <w:pPr>
      <w:jc w:val="center"/>
    </w:pPr>
    <w:rPr>
      <w:b/>
      <w:color w:val="000000"/>
      <w:sz w:val="24"/>
      <w:szCs w:val="21"/>
    </w:rPr>
  </w:style>
  <w:style w:type="paragraph" w:customStyle="1" w:styleId="31">
    <w:name w:val="题注4"/>
    <w:basedOn w:val="1"/>
    <w:next w:val="7"/>
    <w:qFormat/>
    <w:uiPriority w:val="0"/>
    <w:pPr>
      <w:ind w:left="-132" w:leftChars="-64" w:right="-105" w:rightChars="-50" w:hanging="2"/>
      <w:jc w:val="center"/>
    </w:pPr>
    <w:rPr>
      <w:b/>
      <w:color w:val="FF0000"/>
      <w:szCs w:val="21"/>
      <w:lang w:val="en-GB"/>
    </w:rPr>
  </w:style>
  <w:style w:type="character" w:customStyle="1" w:styleId="32">
    <w:name w:val="标题1"/>
    <w:qFormat/>
    <w:uiPriority w:val="0"/>
  </w:style>
  <w:style w:type="character" w:customStyle="1" w:styleId="33">
    <w:name w:val="font01"/>
    <w:qFormat/>
    <w:uiPriority w:val="0"/>
    <w:rPr>
      <w:rFonts w:hint="eastAsia" w:ascii="宋体" w:hAnsi="宋体" w:eastAsia="宋体" w:cs="宋体"/>
      <w:color w:val="000000"/>
      <w:sz w:val="24"/>
      <w:szCs w:val="24"/>
      <w:u w:val="none"/>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MS</Company>
  <Pages>8</Pages>
  <Words>5042</Words>
  <Characters>5145</Characters>
  <Lines>42</Lines>
  <Paragraphs>11</Paragraphs>
  <TotalTime>0</TotalTime>
  <ScaleCrop>false</ScaleCrop>
  <LinksUpToDate>false</LinksUpToDate>
  <CharactersWithSpaces>5203</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2023-02-06T09:09:00Z</dcterms:created>
  <dc:creator>敏菱</dc:creator>
  <cp:lastModifiedBy>倪倪</cp:lastModifiedBy>
  <cp:lastPrinted>2018-04-08T11:26:00Z</cp:lastPrinted>
  <dcterms:modified xsi:type="dcterms:W3CDTF">2026-10-10T07:14:14Z</dcterms:modified>
  <cp:revision>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35A3DCA68A854E899ACADF791D313DFF_13</vt:lpwstr>
  </property>
  <property fmtid="{D5CDD505-2E9C-101B-9397-08002B2CF9AE}" pid="4" name="KSOTemplateDocerSaveRecord">
    <vt:lpwstr>eyJoZGlkIjoiZjM5ZTQyODIyNzU2MDNlZDcyYzFjODE2ZTM1ZDJjZWYiLCJ1c2VySWQiOiIzMzg0MDIzMTQifQ==</vt:lpwstr>
  </property>
</Properties>
</file>