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015E9">
      <w:pPr>
        <w:spacing w:line="240" w:lineRule="auto"/>
        <w:jc w:val="center"/>
        <w:rPr>
          <w:rFonts w:hint="eastAsia" w:asciiTheme="minorEastAsia" w:hAnsiTheme="minorEastAsia" w:eastAsiaTheme="minorEastAsia" w:cstheme="minorEastAsia"/>
          <w:b/>
          <w:bCs/>
          <w:sz w:val="32"/>
          <w:szCs w:val="32"/>
          <w:lang w:val="en-US" w:eastAsia="zh-CN"/>
        </w:rPr>
      </w:pPr>
      <w:bookmarkStart w:id="0" w:name="_GoBack"/>
      <w:bookmarkEnd w:id="0"/>
      <w:r>
        <w:rPr>
          <w:rFonts w:hint="eastAsia" w:asciiTheme="minorEastAsia" w:hAnsiTheme="minorEastAsia" w:eastAsiaTheme="minorEastAsia" w:cstheme="minorEastAsia"/>
          <w:b/>
          <w:bCs/>
          <w:sz w:val="32"/>
          <w:szCs w:val="32"/>
          <w:lang w:val="en-US" w:eastAsia="zh-CN"/>
        </w:rPr>
        <w:t>广州医科大学附属第三医院</w:t>
      </w:r>
      <w:r>
        <w:rPr>
          <w:rFonts w:hint="eastAsia" w:asciiTheme="minorEastAsia" w:hAnsiTheme="minorEastAsia" w:cstheme="minorEastAsia"/>
          <w:b/>
          <w:bCs/>
          <w:sz w:val="32"/>
          <w:szCs w:val="32"/>
          <w:lang w:val="en-US" w:eastAsia="zh-CN"/>
        </w:rPr>
        <w:t>荔湾院区反渗透</w:t>
      </w:r>
      <w:r>
        <w:rPr>
          <w:rFonts w:hint="eastAsia" w:asciiTheme="minorEastAsia" w:hAnsiTheme="minorEastAsia" w:eastAsiaTheme="minorEastAsia" w:cstheme="minorEastAsia"/>
          <w:b/>
          <w:bCs/>
          <w:sz w:val="32"/>
          <w:szCs w:val="32"/>
          <w:lang w:val="en-US" w:eastAsia="zh-CN"/>
        </w:rPr>
        <w:t>直饮水机</w:t>
      </w:r>
    </w:p>
    <w:p w14:paraId="26308FA4">
      <w:pPr>
        <w:spacing w:line="240" w:lineRule="auto"/>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租赁服务项目需求</w:t>
      </w:r>
    </w:p>
    <w:p w14:paraId="2F9599F9">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 项目地址</w:t>
      </w:r>
    </w:p>
    <w:p w14:paraId="0D652269">
      <w:pPr>
        <w:spacing w:line="24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广州市荔湾区多宝路63号（荔湾院区）</w:t>
      </w:r>
    </w:p>
    <w:p w14:paraId="2766542F">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 服务周期</w:t>
      </w:r>
    </w:p>
    <w:p w14:paraId="39C9F4CC">
      <w:pPr>
        <w:spacing w:line="240" w:lineRule="auto"/>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按调研最终结果决定</w:t>
      </w:r>
    </w:p>
    <w:p w14:paraId="15013E2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三、 项目需求内容</w:t>
      </w:r>
    </w:p>
    <w:p w14:paraId="77D3E85E">
      <w:pPr>
        <w:spacing w:line="24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反渗透直饮水机租赁服务</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 xml:space="preserve"> 1项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990"/>
        <w:gridCol w:w="2414"/>
        <w:gridCol w:w="2836"/>
      </w:tblGrid>
      <w:tr w14:paraId="5BE6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vAlign w:val="center"/>
          </w:tcPr>
          <w:p w14:paraId="018CCE67">
            <w:pPr>
              <w:spacing w:line="240" w:lineRule="auto"/>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序号</w:t>
            </w:r>
          </w:p>
        </w:tc>
        <w:tc>
          <w:tcPr>
            <w:tcW w:w="1990" w:type="dxa"/>
            <w:vAlign w:val="center"/>
          </w:tcPr>
          <w:p w14:paraId="157C6E6C">
            <w:pPr>
              <w:spacing w:line="240" w:lineRule="auto"/>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规格</w:t>
            </w:r>
          </w:p>
        </w:tc>
        <w:tc>
          <w:tcPr>
            <w:tcW w:w="2414" w:type="dxa"/>
            <w:vAlign w:val="center"/>
          </w:tcPr>
          <w:p w14:paraId="33A5C4A2">
            <w:pPr>
              <w:spacing w:line="240" w:lineRule="auto"/>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预估数量</w:t>
            </w:r>
            <w:r>
              <w:rPr>
                <w:rFonts w:hint="eastAsia" w:asciiTheme="minorEastAsia" w:hAnsiTheme="minorEastAsia" w:cstheme="minorEastAsia"/>
                <w:b/>
                <w:bCs/>
                <w:sz w:val="24"/>
                <w:szCs w:val="24"/>
                <w:vertAlign w:val="baseline"/>
                <w:lang w:val="en-US" w:eastAsia="zh-CN"/>
              </w:rPr>
              <w:t>（台）</w:t>
            </w:r>
          </w:p>
        </w:tc>
        <w:tc>
          <w:tcPr>
            <w:tcW w:w="2836" w:type="dxa"/>
            <w:vAlign w:val="center"/>
          </w:tcPr>
          <w:p w14:paraId="6F4123E4">
            <w:pPr>
              <w:spacing w:line="240" w:lineRule="auto"/>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备注</w:t>
            </w:r>
          </w:p>
        </w:tc>
      </w:tr>
      <w:tr w14:paraId="4457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11" w:type="dxa"/>
            <w:vAlign w:val="center"/>
          </w:tcPr>
          <w:p w14:paraId="13CF18DF">
            <w:pPr>
              <w:spacing w:line="24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990" w:type="dxa"/>
            <w:vAlign w:val="center"/>
          </w:tcPr>
          <w:p w14:paraId="5063B3C7">
            <w:pPr>
              <w:spacing w:line="24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大型</w:t>
            </w:r>
          </w:p>
        </w:tc>
        <w:tc>
          <w:tcPr>
            <w:tcW w:w="2414" w:type="dxa"/>
            <w:shd w:val="clear" w:color="auto" w:fill="FEF2CB" w:themeFill="accent3" w:themeFillTint="32"/>
            <w:vAlign w:val="center"/>
          </w:tcPr>
          <w:p w14:paraId="7ECB6AFB">
            <w:pPr>
              <w:spacing w:line="240" w:lineRule="auto"/>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42</w:t>
            </w:r>
          </w:p>
        </w:tc>
        <w:tc>
          <w:tcPr>
            <w:tcW w:w="2836" w:type="dxa"/>
            <w:vMerge w:val="restart"/>
            <w:vAlign w:val="center"/>
          </w:tcPr>
          <w:p w14:paraId="7D696056">
            <w:pPr>
              <w:spacing w:line="24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具体参数需求见后续技术要求。</w:t>
            </w:r>
          </w:p>
        </w:tc>
      </w:tr>
      <w:tr w14:paraId="6115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11" w:type="dxa"/>
            <w:vAlign w:val="center"/>
          </w:tcPr>
          <w:p w14:paraId="35347CBB">
            <w:pPr>
              <w:spacing w:line="24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1990" w:type="dxa"/>
            <w:vAlign w:val="center"/>
          </w:tcPr>
          <w:p w14:paraId="531FA256">
            <w:pPr>
              <w:spacing w:line="24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小</w:t>
            </w:r>
            <w:r>
              <w:rPr>
                <w:rFonts w:hint="eastAsia" w:asciiTheme="minorEastAsia" w:hAnsiTheme="minorEastAsia" w:eastAsiaTheme="minorEastAsia" w:cstheme="minorEastAsia"/>
                <w:sz w:val="24"/>
                <w:szCs w:val="24"/>
                <w:vertAlign w:val="baseline"/>
                <w:lang w:val="en-US" w:eastAsia="zh-CN"/>
              </w:rPr>
              <w:t>型</w:t>
            </w:r>
          </w:p>
        </w:tc>
        <w:tc>
          <w:tcPr>
            <w:tcW w:w="2414" w:type="dxa"/>
            <w:shd w:val="clear" w:color="auto" w:fill="FEF2CB" w:themeFill="accent3" w:themeFillTint="32"/>
            <w:vAlign w:val="center"/>
          </w:tcPr>
          <w:p w14:paraId="753B627D">
            <w:pPr>
              <w:spacing w:line="240" w:lineRule="auto"/>
              <w:jc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193</w:t>
            </w:r>
          </w:p>
        </w:tc>
        <w:tc>
          <w:tcPr>
            <w:tcW w:w="2836" w:type="dxa"/>
            <w:vMerge w:val="continue"/>
            <w:vAlign w:val="center"/>
          </w:tcPr>
          <w:p w14:paraId="12416FCC">
            <w:pPr>
              <w:spacing w:line="240" w:lineRule="auto"/>
              <w:jc w:val="center"/>
              <w:rPr>
                <w:rFonts w:hint="eastAsia" w:asciiTheme="minorEastAsia" w:hAnsiTheme="minorEastAsia" w:eastAsiaTheme="minorEastAsia" w:cstheme="minorEastAsia"/>
                <w:sz w:val="24"/>
                <w:szCs w:val="24"/>
                <w:vertAlign w:val="baseline"/>
                <w:lang w:val="en-US" w:eastAsia="zh-CN"/>
              </w:rPr>
            </w:pPr>
          </w:p>
        </w:tc>
      </w:tr>
    </w:tbl>
    <w:p w14:paraId="65571AE9">
      <w:pPr>
        <w:spacing w:line="240" w:lineRule="auto"/>
        <w:rPr>
          <w:rFonts w:hint="eastAsia" w:asciiTheme="minorEastAsia" w:hAnsiTheme="minorEastAsia" w:eastAsiaTheme="minorEastAsia" w:cstheme="minorEastAsia"/>
          <w:sz w:val="28"/>
          <w:szCs w:val="28"/>
          <w:lang w:val="en-US" w:eastAsia="zh-CN"/>
        </w:rPr>
      </w:pPr>
    </w:p>
    <w:p w14:paraId="3D75EFD9">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四、 服务需求</w:t>
      </w:r>
    </w:p>
    <w:p w14:paraId="30D61BF1">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1、所提供的货物必须是原装、全新的产品，并且符合国家以及该产品的出厂标准。</w:t>
      </w:r>
    </w:p>
    <w:p w14:paraId="5EB4FFEF">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2、所提供的货物必须使用环保材料并符合国家环保要求及标准。</w:t>
      </w:r>
    </w:p>
    <w:p w14:paraId="67F2988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3、所有货物在开箱检验时必须完好，无破损，配置与装箱单相符。数量、质量及性能不低于本需求书中提出的要求。</w:t>
      </w:r>
    </w:p>
    <w:p w14:paraId="163556D9">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4、货物外观清洁，标记编号以及盘面显示等字体清晰，明确。</w:t>
      </w:r>
    </w:p>
    <w:p w14:paraId="2D8CCBD1">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5、对于影响货物正常工作的必要组成部分，无论在技术规范中指出与否，投标人都应提供并在投标文件中明确列出。</w:t>
      </w:r>
    </w:p>
    <w:p w14:paraId="59E22AE9">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6、在实际供货时，若是进口产品，需提供的货物进口产品完税证明。</w:t>
      </w:r>
    </w:p>
    <w:p w14:paraId="74248126">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7、免费提供产品正常使用情况下的维修及保养服务。</w:t>
      </w:r>
    </w:p>
    <w:p w14:paraId="7C5966F4">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8、应有可靠的售后服务保障，在广州地区有固定的维修服务机构或承诺中标后设立维修服务机构，能提供正常的技术、备品备件服务。</w:t>
      </w:r>
    </w:p>
    <w:p w14:paraId="7E8F1D3B">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9、有24小时服务热线，保证在接到故障电话后，30分钟内到达现场解决问题，确保设备正常运转。若不能解决问题，提供备用设备代替使用服务 ；合同期内派驻工程师到现场维护和巡查；采购人不提供住宿。</w:t>
      </w:r>
    </w:p>
    <w:p w14:paraId="07ADDE2D">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10、应保证主要材料零部件产地符合用户需求书的有关规定，所有主要材料零部件必须能提供原产地证明、出厂检验报告。</w:t>
      </w:r>
    </w:p>
    <w:p w14:paraId="19AA8335">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11、水质检测：检验项目：浑浊度、余氯、细菌总数、总大肠菌群、色度、臭和味、PH值、亚硝酸盐、耗氧量（高锰酸盐法）等。</w:t>
      </w:r>
    </w:p>
    <w:p w14:paraId="2127DC3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12、技术资料：</w:t>
      </w:r>
    </w:p>
    <w:p w14:paraId="7EBBE0D0">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（1）应根据规范要求提供所有材料产品设备的质量合格证书，若进口材料产品设备还须提供进口报关证明及中国省级疾控检测报告；</w:t>
      </w:r>
    </w:p>
    <w:p w14:paraId="2AA92FE5">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（2）应根据规范要求提供材料设备检验报告（包括卫生检验、材质检验等），进口产品提供相应证明文件。所有与直饮水接触的部件，不允许使用易腐蚀的材料制造。</w:t>
      </w:r>
    </w:p>
    <w:p w14:paraId="457B3054">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（3）应针对所有产品设备提供其齐全的原理、技术参数、使用操作、维护说明等技术文件资料。</w:t>
      </w:r>
    </w:p>
    <w:p w14:paraId="5BEA2F52">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（4）提供的所用文件资料应为中文。</w:t>
      </w:r>
    </w:p>
    <w:p w14:paraId="6CB3F4DA">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13、供应商提供详细的直饮水水质保证方</w:t>
      </w:r>
      <w:r>
        <w:rPr>
          <w:rFonts w:hint="eastAsia" w:asciiTheme="minorEastAsia" w:hAnsiTheme="minorEastAsia" w:cstheme="minorEastAsia"/>
          <w:sz w:val="28"/>
          <w:szCs w:val="28"/>
          <w:lang w:val="en-US" w:eastAsia="zh-CN"/>
        </w:rPr>
        <w:t>案和</w:t>
      </w:r>
      <w:r>
        <w:rPr>
          <w:rFonts w:hint="eastAsia" w:asciiTheme="minorEastAsia" w:hAnsiTheme="minorEastAsia" w:eastAsiaTheme="minorEastAsia" w:cstheme="minorEastAsia"/>
          <w:sz w:val="28"/>
          <w:szCs w:val="28"/>
          <w:lang w:val="en-US" w:eastAsia="zh-CN"/>
        </w:rPr>
        <w:t>措施（包括设备过滤技术；水质检测与合规性管理；定期巡检与清洗消毒等）。</w:t>
      </w:r>
    </w:p>
    <w:p w14:paraId="75B6E32C">
      <w:pPr>
        <w:spacing w:line="240" w:lineRule="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14、水质巡检：中标供应商开展月度或季度巡检，当巡检检出TDS值超过反渗透膜的正常值（95%脱盐率）后，中标供应商无条件对饮水设备进行水质化验检测，并对设备滤芯进行更换维护，直至设备出水水质符合使用标准止。</w:t>
      </w:r>
      <w:r>
        <w:rPr>
          <w:rFonts w:hint="eastAsia" w:asciiTheme="minorEastAsia" w:hAnsiTheme="minorEastAsia" w:cstheme="minorEastAsia"/>
          <w:sz w:val="28"/>
          <w:szCs w:val="28"/>
          <w:lang w:val="en-US" w:eastAsia="zh-CN"/>
        </w:rPr>
        <w:t>且每季度租赁请款时需提供第三方水质检测报告，采样点位应涵括租赁数量的10%或以上，可按组别检测。</w:t>
      </w:r>
    </w:p>
    <w:p w14:paraId="6713DE03">
      <w:pPr>
        <w:spacing w:line="240" w:lineRule="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15、免费提供租赁设备的新装以及后期加装、移装的实施工作，包括接驳管材及人工。</w:t>
      </w:r>
    </w:p>
    <w:p w14:paraId="749B0F97">
      <w:pPr>
        <w:spacing w:line="240" w:lineRule="auto"/>
        <w:rPr>
          <w:rFonts w:hint="eastAsia" w:asciiTheme="minorEastAsia" w:hAnsiTheme="minorEastAsia" w:eastAsiaTheme="minorEastAsia" w:cstheme="minorEastAsia"/>
          <w:sz w:val="28"/>
          <w:szCs w:val="28"/>
          <w:highlight w:val="yellow"/>
          <w:lang w:val="en-US" w:eastAsia="zh-CN"/>
        </w:rPr>
      </w:pP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highlight w:val="yellow"/>
          <w:lang w:val="en-US" w:eastAsia="zh-CN"/>
        </w:rPr>
        <w:t xml:space="preserve"> 技术需求</w:t>
      </w:r>
    </w:p>
    <w:tbl>
      <w:tblPr>
        <w:tblStyle w:val="4"/>
        <w:tblW w:w="85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06"/>
        <w:gridCol w:w="3463"/>
        <w:gridCol w:w="4135"/>
      </w:tblGrid>
      <w:tr w14:paraId="6779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906" w:type="dxa"/>
            <w:tcBorders>
              <w:top w:val="single" w:color="FFFFFF" w:sz="6" w:space="0"/>
              <w:left w:val="single" w:color="FFFFFF" w:sz="6" w:space="0"/>
              <w:bottom w:val="single" w:color="FFFFFF" w:sz="18" w:space="0"/>
              <w:right w:val="single" w:color="FFFFFF" w:sz="6" w:space="0"/>
            </w:tcBorders>
            <w:shd w:val="clear" w:color="auto" w:fill="4874CB"/>
            <w:tcMar>
              <w:top w:w="72" w:type="dxa"/>
              <w:left w:w="144" w:type="dxa"/>
              <w:bottom w:w="72" w:type="dxa"/>
              <w:right w:w="144" w:type="dxa"/>
            </w:tcMar>
            <w:vAlign w:val="center"/>
          </w:tcPr>
          <w:p w14:paraId="4D9F9AA8">
            <w:pPr>
              <w:pStyle w:val="3"/>
              <w:keepNext w:val="0"/>
              <w:keepLines w:val="0"/>
              <w:widowControl/>
              <w:suppressLineNumbers w:val="0"/>
              <w:kinsoku/>
              <w:wordWrap/>
              <w:overflowPunct/>
              <w:jc w:val="center"/>
              <w:rPr>
                <w:sz w:val="20"/>
                <w:szCs w:val="20"/>
              </w:rPr>
            </w:pPr>
            <w:r>
              <w:rPr>
                <w:b/>
                <w:bCs/>
                <w:color w:val="FFFFFF"/>
                <w:sz w:val="24"/>
                <w:szCs w:val="24"/>
              </w:rPr>
              <w:t>机型</w:t>
            </w:r>
          </w:p>
        </w:tc>
        <w:tc>
          <w:tcPr>
            <w:tcW w:w="3463" w:type="dxa"/>
            <w:tcBorders>
              <w:top w:val="single" w:color="FFFFFF" w:sz="6" w:space="0"/>
              <w:left w:val="single" w:color="FFFFFF" w:sz="6" w:space="0"/>
              <w:bottom w:val="single" w:color="FFFFFF" w:sz="18" w:space="0"/>
              <w:right w:val="single" w:color="FFFFFF" w:sz="6" w:space="0"/>
            </w:tcBorders>
            <w:shd w:val="clear" w:color="auto" w:fill="4874CB"/>
            <w:tcMar>
              <w:top w:w="72" w:type="dxa"/>
              <w:left w:w="144" w:type="dxa"/>
              <w:bottom w:w="72" w:type="dxa"/>
              <w:right w:w="144" w:type="dxa"/>
            </w:tcMar>
            <w:vAlign w:val="center"/>
          </w:tcPr>
          <w:p w14:paraId="52A537DE">
            <w:pPr>
              <w:pStyle w:val="3"/>
              <w:keepNext w:val="0"/>
              <w:keepLines w:val="0"/>
              <w:widowControl/>
              <w:suppressLineNumbers w:val="0"/>
              <w:kinsoku/>
              <w:wordWrap/>
              <w:overflowPunct/>
              <w:jc w:val="center"/>
              <w:rPr>
                <w:sz w:val="20"/>
                <w:szCs w:val="20"/>
              </w:rPr>
            </w:pPr>
            <w:r>
              <w:rPr>
                <w:b/>
                <w:bCs/>
                <w:color w:val="FFFFFF"/>
                <w:sz w:val="24"/>
                <w:szCs w:val="24"/>
              </w:rPr>
              <w:t>小水量型机</w:t>
            </w:r>
          </w:p>
        </w:tc>
        <w:tc>
          <w:tcPr>
            <w:tcW w:w="4135" w:type="dxa"/>
            <w:tcBorders>
              <w:top w:val="single" w:color="FFFFFF" w:sz="6" w:space="0"/>
              <w:left w:val="single" w:color="FFFFFF" w:sz="6" w:space="0"/>
              <w:bottom w:val="single" w:color="FFFFFF" w:sz="18" w:space="0"/>
              <w:right w:val="single" w:color="FFFFFF" w:sz="6" w:space="0"/>
            </w:tcBorders>
            <w:shd w:val="clear" w:color="auto" w:fill="4874CB"/>
            <w:tcMar>
              <w:top w:w="72" w:type="dxa"/>
              <w:left w:w="144" w:type="dxa"/>
              <w:bottom w:w="72" w:type="dxa"/>
              <w:right w:w="144" w:type="dxa"/>
            </w:tcMar>
            <w:vAlign w:val="center"/>
          </w:tcPr>
          <w:p w14:paraId="50874CFB">
            <w:pPr>
              <w:pStyle w:val="3"/>
              <w:keepNext w:val="0"/>
              <w:keepLines w:val="0"/>
              <w:widowControl/>
              <w:suppressLineNumbers w:val="0"/>
              <w:kinsoku/>
              <w:wordWrap/>
              <w:overflowPunct/>
              <w:jc w:val="center"/>
              <w:rPr>
                <w:sz w:val="20"/>
                <w:szCs w:val="20"/>
              </w:rPr>
            </w:pPr>
            <w:r>
              <w:rPr>
                <w:b/>
                <w:bCs/>
                <w:color w:val="FFFFFF"/>
                <w:sz w:val="24"/>
                <w:szCs w:val="24"/>
              </w:rPr>
              <w:t>大水量型机</w:t>
            </w:r>
          </w:p>
        </w:tc>
      </w:tr>
      <w:tr w14:paraId="34B3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906" w:type="dxa"/>
            <w:tcBorders>
              <w:top w:val="single" w:color="FFFFFF" w:sz="6" w:space="0"/>
              <w:left w:val="single" w:color="FFFFFF" w:sz="6" w:space="0"/>
              <w:bottom w:val="single" w:color="FFFFFF" w:sz="18" w:space="0"/>
              <w:right w:val="single" w:color="FFFFFF" w:sz="6" w:space="0"/>
            </w:tcBorders>
            <w:shd w:val="clear" w:color="auto" w:fill="CFD6EC"/>
            <w:tcMar>
              <w:top w:w="72" w:type="dxa"/>
              <w:left w:w="144" w:type="dxa"/>
              <w:bottom w:w="72" w:type="dxa"/>
              <w:right w:w="144" w:type="dxa"/>
            </w:tcMar>
            <w:vAlign w:val="center"/>
          </w:tcPr>
          <w:p w14:paraId="29AEBDEA">
            <w:pPr>
              <w:pStyle w:val="3"/>
              <w:keepNext w:val="0"/>
              <w:keepLines w:val="0"/>
              <w:widowControl/>
              <w:suppressLineNumbers w:val="0"/>
              <w:kinsoku/>
              <w:wordWrap/>
              <w:overflowPunct/>
              <w:jc w:val="center"/>
              <w:rPr>
                <w:sz w:val="20"/>
                <w:szCs w:val="20"/>
              </w:rPr>
            </w:pPr>
            <w:r>
              <w:rPr>
                <w:color w:val="000000"/>
                <w:sz w:val="24"/>
                <w:szCs w:val="24"/>
              </w:rPr>
              <w:t>应用场景</w:t>
            </w:r>
          </w:p>
        </w:tc>
        <w:tc>
          <w:tcPr>
            <w:tcW w:w="3463" w:type="dxa"/>
            <w:tcBorders>
              <w:top w:val="single" w:color="FFFFFF" w:sz="6" w:space="0"/>
              <w:left w:val="single" w:color="FFFFFF" w:sz="6" w:space="0"/>
              <w:bottom w:val="single" w:color="FFFFFF" w:sz="18" w:space="0"/>
              <w:right w:val="single" w:color="FFFFFF" w:sz="6" w:space="0"/>
            </w:tcBorders>
            <w:shd w:val="clear" w:color="auto" w:fill="CFD6EC"/>
            <w:tcMar>
              <w:top w:w="72" w:type="dxa"/>
              <w:left w:w="144" w:type="dxa"/>
              <w:bottom w:w="72" w:type="dxa"/>
              <w:right w:w="144" w:type="dxa"/>
            </w:tcMar>
            <w:vAlign w:val="center"/>
          </w:tcPr>
          <w:p w14:paraId="3AD3EC9F">
            <w:pPr>
              <w:pStyle w:val="3"/>
              <w:keepNext w:val="0"/>
              <w:keepLines w:val="0"/>
              <w:widowControl/>
              <w:suppressLineNumbers w:val="0"/>
              <w:kinsoku/>
              <w:wordWrap/>
              <w:overflowPunct/>
              <w:jc w:val="center"/>
              <w:rPr>
                <w:sz w:val="20"/>
                <w:szCs w:val="20"/>
              </w:rPr>
            </w:pPr>
            <w:r>
              <w:rPr>
                <w:color w:val="000000"/>
                <w:sz w:val="24"/>
                <w:szCs w:val="24"/>
              </w:rPr>
              <w:t>办公区、生活区、</w:t>
            </w:r>
          </w:p>
        </w:tc>
        <w:tc>
          <w:tcPr>
            <w:tcW w:w="4135" w:type="dxa"/>
            <w:tcBorders>
              <w:top w:val="single" w:color="FFFFFF" w:sz="6" w:space="0"/>
              <w:left w:val="single" w:color="FFFFFF" w:sz="6" w:space="0"/>
              <w:bottom w:val="single" w:color="FFFFFF" w:sz="18" w:space="0"/>
              <w:right w:val="single" w:color="FFFFFF" w:sz="6" w:space="0"/>
            </w:tcBorders>
            <w:shd w:val="clear" w:color="auto" w:fill="CFD6EC"/>
            <w:tcMar>
              <w:top w:w="72" w:type="dxa"/>
              <w:left w:w="144" w:type="dxa"/>
              <w:bottom w:w="72" w:type="dxa"/>
              <w:right w:w="144" w:type="dxa"/>
            </w:tcMar>
            <w:vAlign w:val="center"/>
          </w:tcPr>
          <w:p w14:paraId="7DA1479B">
            <w:pPr>
              <w:pStyle w:val="3"/>
              <w:keepNext w:val="0"/>
              <w:keepLines w:val="0"/>
              <w:widowControl/>
              <w:suppressLineNumbers w:val="0"/>
              <w:kinsoku/>
              <w:wordWrap/>
              <w:overflowPunct/>
              <w:jc w:val="center"/>
              <w:rPr>
                <w:sz w:val="20"/>
                <w:szCs w:val="20"/>
              </w:rPr>
            </w:pPr>
            <w:r>
              <w:rPr>
                <w:color w:val="000000"/>
                <w:sz w:val="24"/>
                <w:szCs w:val="24"/>
              </w:rPr>
              <w:t>公共区域、病房区域</w:t>
            </w:r>
          </w:p>
        </w:tc>
      </w:tr>
      <w:tr w14:paraId="3E7C2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0" w:hRule="atLeast"/>
        </w:trPr>
        <w:tc>
          <w:tcPr>
            <w:tcW w:w="906" w:type="dxa"/>
            <w:tcBorders>
              <w:top w:val="single" w:color="FFFFFF" w:sz="6" w:space="0"/>
              <w:left w:val="single" w:color="FFFFFF" w:sz="6" w:space="0"/>
              <w:bottom w:val="single" w:color="FFFFFF" w:sz="18" w:space="0"/>
              <w:right w:val="single" w:color="FFFFFF" w:sz="6" w:space="0"/>
            </w:tcBorders>
            <w:shd w:val="clear" w:color="auto" w:fill="E9ECF6"/>
            <w:tcMar>
              <w:top w:w="72" w:type="dxa"/>
              <w:left w:w="144" w:type="dxa"/>
              <w:bottom w:w="72" w:type="dxa"/>
              <w:right w:w="144" w:type="dxa"/>
            </w:tcMar>
            <w:vAlign w:val="center"/>
          </w:tcPr>
          <w:p w14:paraId="1416EE08">
            <w:pPr>
              <w:pStyle w:val="3"/>
              <w:keepNext w:val="0"/>
              <w:keepLines w:val="0"/>
              <w:widowControl/>
              <w:suppressLineNumbers w:val="0"/>
              <w:kinsoku/>
              <w:wordWrap/>
              <w:overflowPunct/>
              <w:jc w:val="center"/>
              <w:rPr>
                <w:sz w:val="20"/>
                <w:szCs w:val="20"/>
              </w:rPr>
            </w:pPr>
            <w:r>
              <w:rPr>
                <w:color w:val="000000"/>
                <w:sz w:val="24"/>
                <w:szCs w:val="24"/>
              </w:rPr>
              <w:t>规格要求</w:t>
            </w:r>
          </w:p>
        </w:tc>
        <w:tc>
          <w:tcPr>
            <w:tcW w:w="3463" w:type="dxa"/>
            <w:tcBorders>
              <w:top w:val="single" w:color="FFFFFF" w:sz="6" w:space="0"/>
              <w:left w:val="single" w:color="FFFFFF" w:sz="6" w:space="0"/>
              <w:bottom w:val="single" w:color="FFFFFF" w:sz="18" w:space="0"/>
              <w:right w:val="single" w:color="FFFFFF" w:sz="6" w:space="0"/>
            </w:tcBorders>
            <w:shd w:val="clear" w:color="auto" w:fill="E9ECF6"/>
            <w:tcMar>
              <w:top w:w="72" w:type="dxa"/>
              <w:left w:w="144" w:type="dxa"/>
              <w:bottom w:w="72" w:type="dxa"/>
              <w:right w:w="144" w:type="dxa"/>
            </w:tcMar>
            <w:vAlign w:val="center"/>
          </w:tcPr>
          <w:p w14:paraId="014BEEEF">
            <w:pPr>
              <w:pStyle w:val="3"/>
              <w:keepNext w:val="0"/>
              <w:keepLines w:val="0"/>
              <w:widowControl/>
              <w:suppressLineNumbers w:val="0"/>
              <w:kinsoku/>
              <w:wordWrap/>
              <w:overflowPunct/>
              <w:jc w:val="left"/>
              <w:rPr>
                <w:sz w:val="20"/>
                <w:szCs w:val="20"/>
              </w:rPr>
            </w:pPr>
            <w:r>
              <w:rPr>
                <w:color w:val="000000"/>
                <w:sz w:val="24"/>
                <w:szCs w:val="24"/>
              </w:rPr>
              <w:t>1.满足20-30人使用</w:t>
            </w:r>
          </w:p>
          <w:p w14:paraId="590BD08D">
            <w:pPr>
              <w:pStyle w:val="3"/>
              <w:keepNext w:val="0"/>
              <w:keepLines w:val="0"/>
              <w:widowControl/>
              <w:suppressLineNumbers w:val="0"/>
              <w:kinsoku/>
              <w:wordWrap/>
              <w:overflowPunct/>
              <w:jc w:val="left"/>
              <w:rPr>
                <w:sz w:val="20"/>
                <w:szCs w:val="20"/>
              </w:rPr>
            </w:pPr>
            <w:r>
              <w:rPr>
                <w:color w:val="000000"/>
                <w:sz w:val="24"/>
                <w:szCs w:val="24"/>
              </w:rPr>
              <w:t>2.制热功率≥1500w</w:t>
            </w:r>
          </w:p>
          <w:p w14:paraId="4BB0DC7D">
            <w:pPr>
              <w:pStyle w:val="3"/>
              <w:keepNext w:val="0"/>
              <w:keepLines w:val="0"/>
              <w:widowControl/>
              <w:suppressLineNumbers w:val="0"/>
              <w:kinsoku/>
              <w:wordWrap/>
              <w:overflowPunct/>
              <w:jc w:val="left"/>
              <w:rPr>
                <w:sz w:val="20"/>
                <w:szCs w:val="20"/>
              </w:rPr>
            </w:pPr>
            <w:r>
              <w:rPr>
                <w:color w:val="000000"/>
                <w:sz w:val="24"/>
                <w:szCs w:val="24"/>
              </w:rPr>
              <w:t>3.制水通量≥100GPD</w:t>
            </w:r>
          </w:p>
          <w:p w14:paraId="78035809">
            <w:pPr>
              <w:pStyle w:val="3"/>
              <w:keepNext w:val="0"/>
              <w:keepLines w:val="0"/>
              <w:widowControl/>
              <w:suppressLineNumbers w:val="0"/>
              <w:kinsoku/>
              <w:wordWrap/>
              <w:overflowPunct/>
              <w:jc w:val="left"/>
              <w:rPr>
                <w:sz w:val="20"/>
                <w:szCs w:val="20"/>
              </w:rPr>
            </w:pPr>
            <w:r>
              <w:rPr>
                <w:color w:val="000000"/>
                <w:sz w:val="24"/>
                <w:szCs w:val="24"/>
              </w:rPr>
              <w:t>4.常温水箱≥10L</w:t>
            </w:r>
          </w:p>
          <w:p w14:paraId="6C94162F">
            <w:pPr>
              <w:pStyle w:val="3"/>
              <w:keepNext w:val="0"/>
              <w:keepLines w:val="0"/>
              <w:widowControl/>
              <w:suppressLineNumbers w:val="0"/>
              <w:kinsoku/>
              <w:wordWrap/>
              <w:overflowPunct/>
              <w:jc w:val="left"/>
              <w:rPr>
                <w:sz w:val="20"/>
                <w:szCs w:val="20"/>
              </w:rPr>
            </w:pPr>
            <w:r>
              <w:rPr>
                <w:color w:val="000000"/>
                <w:sz w:val="24"/>
                <w:szCs w:val="24"/>
              </w:rPr>
              <w:t>5.热罐容量≥5L</w:t>
            </w:r>
          </w:p>
          <w:p w14:paraId="5D8DF44D">
            <w:pPr>
              <w:pStyle w:val="3"/>
              <w:keepNext w:val="0"/>
              <w:keepLines w:val="0"/>
              <w:widowControl/>
              <w:suppressLineNumbers w:val="0"/>
              <w:kinsoku/>
              <w:wordWrap/>
              <w:overflowPunct/>
              <w:jc w:val="left"/>
              <w:rPr>
                <w:sz w:val="20"/>
                <w:szCs w:val="20"/>
              </w:rPr>
            </w:pPr>
            <w:r>
              <w:rPr>
                <w:color w:val="000000"/>
                <w:sz w:val="24"/>
                <w:szCs w:val="24"/>
              </w:rPr>
              <w:t>6.热水加热温度≥97℃</w:t>
            </w:r>
          </w:p>
          <w:p w14:paraId="2619CCA3">
            <w:pPr>
              <w:pStyle w:val="3"/>
              <w:keepNext w:val="0"/>
              <w:keepLines w:val="0"/>
              <w:widowControl/>
              <w:suppressLineNumbers w:val="0"/>
              <w:kinsoku/>
              <w:wordWrap/>
              <w:overflowPunct/>
              <w:jc w:val="left"/>
              <w:rPr>
                <w:sz w:val="20"/>
                <w:szCs w:val="20"/>
              </w:rPr>
            </w:pPr>
            <w:r>
              <w:rPr>
                <w:color w:val="000000"/>
                <w:sz w:val="24"/>
                <w:szCs w:val="24"/>
              </w:rPr>
              <w:t>7.双水嘴</w:t>
            </w:r>
          </w:p>
          <w:p w14:paraId="5E90C60F">
            <w:pPr>
              <w:pStyle w:val="3"/>
              <w:keepNext w:val="0"/>
              <w:keepLines w:val="0"/>
              <w:widowControl/>
              <w:suppressLineNumbers w:val="0"/>
              <w:kinsoku/>
              <w:wordWrap/>
              <w:overflowPunct/>
              <w:jc w:val="left"/>
              <w:rPr>
                <w:sz w:val="20"/>
                <w:szCs w:val="20"/>
              </w:rPr>
            </w:pPr>
            <w:r>
              <w:rPr>
                <w:color w:val="000000"/>
                <w:sz w:val="24"/>
                <w:szCs w:val="24"/>
              </w:rPr>
              <w:t>8.机械按钮，带童锁</w:t>
            </w:r>
          </w:p>
          <w:p w14:paraId="0E8A6BCC">
            <w:pPr>
              <w:pStyle w:val="3"/>
              <w:keepNext w:val="0"/>
              <w:keepLines w:val="0"/>
              <w:widowControl/>
              <w:suppressLineNumbers w:val="0"/>
              <w:kinsoku/>
              <w:wordWrap/>
              <w:overflowPunct/>
              <w:jc w:val="left"/>
              <w:rPr>
                <w:sz w:val="20"/>
                <w:szCs w:val="20"/>
              </w:rPr>
            </w:pPr>
            <w:r>
              <w:rPr>
                <w:color w:val="000000"/>
                <w:sz w:val="24"/>
                <w:szCs w:val="24"/>
              </w:rPr>
              <w:t>9.滤芯寿命显示</w:t>
            </w:r>
          </w:p>
          <w:p w14:paraId="6F11AA9C">
            <w:pPr>
              <w:pStyle w:val="3"/>
              <w:keepNext w:val="0"/>
              <w:keepLines w:val="0"/>
              <w:widowControl/>
              <w:suppressLineNumbers w:val="0"/>
              <w:kinsoku/>
              <w:wordWrap/>
              <w:overflowPunct/>
              <w:jc w:val="left"/>
              <w:rPr>
                <w:sz w:val="20"/>
                <w:szCs w:val="20"/>
              </w:rPr>
            </w:pPr>
            <w:r>
              <w:rPr>
                <w:color w:val="000000"/>
                <w:sz w:val="24"/>
                <w:szCs w:val="24"/>
              </w:rPr>
              <w:t>10.食品级不锈钢全密封式内胆</w:t>
            </w:r>
          </w:p>
          <w:p w14:paraId="2C0447F4">
            <w:pPr>
              <w:pStyle w:val="3"/>
              <w:keepNext w:val="0"/>
              <w:keepLines w:val="0"/>
              <w:widowControl/>
              <w:suppressLineNumbers w:val="0"/>
              <w:kinsoku/>
              <w:wordWrap/>
              <w:overflowPunct/>
              <w:jc w:val="left"/>
              <w:rPr>
                <w:sz w:val="20"/>
                <w:szCs w:val="20"/>
              </w:rPr>
            </w:pPr>
            <w:r>
              <w:rPr>
                <w:color w:val="000000"/>
                <w:sz w:val="24"/>
                <w:szCs w:val="24"/>
              </w:rPr>
              <w:t>11.内置UV消毒</w:t>
            </w:r>
          </w:p>
          <w:p w14:paraId="14AE6E87">
            <w:pPr>
              <w:pStyle w:val="3"/>
              <w:keepNext w:val="0"/>
              <w:keepLines w:val="0"/>
              <w:widowControl/>
              <w:suppressLineNumbers w:val="0"/>
              <w:kinsoku/>
              <w:wordWrap/>
              <w:overflowPunct/>
              <w:jc w:val="left"/>
              <w:rPr>
                <w:sz w:val="20"/>
                <w:szCs w:val="20"/>
              </w:rPr>
            </w:pPr>
            <w:r>
              <w:rPr>
                <w:color w:val="000000"/>
                <w:sz w:val="24"/>
                <w:szCs w:val="24"/>
              </w:rPr>
              <w:t>12.接水盒带外接排水功能</w:t>
            </w:r>
          </w:p>
          <w:p w14:paraId="1BDA44A4">
            <w:pPr>
              <w:pStyle w:val="3"/>
              <w:keepNext w:val="0"/>
              <w:keepLines w:val="0"/>
              <w:widowControl/>
              <w:suppressLineNumbers w:val="0"/>
              <w:kinsoku/>
              <w:wordWrap/>
              <w:overflowPunct/>
              <w:jc w:val="left"/>
              <w:rPr>
                <w:color w:val="000000"/>
                <w:sz w:val="24"/>
                <w:szCs w:val="24"/>
              </w:rPr>
            </w:pPr>
            <w:r>
              <w:rPr>
                <w:color w:val="000000"/>
                <w:sz w:val="24"/>
                <w:szCs w:val="24"/>
              </w:rPr>
              <w:t>13.接水高度≥30cm</w:t>
            </w:r>
          </w:p>
          <w:p w14:paraId="080DFA29">
            <w:pPr>
              <w:pStyle w:val="3"/>
              <w:keepNext w:val="0"/>
              <w:keepLines w:val="0"/>
              <w:widowControl/>
              <w:suppressLineNumbers w:val="0"/>
              <w:kinsoku/>
              <w:wordWrap/>
              <w:overflowPunct/>
              <w:jc w:val="left"/>
              <w:rPr>
                <w:rFonts w:hint="default" w:eastAsiaTheme="minorEastAsia"/>
                <w:color w:val="000000"/>
                <w:sz w:val="24"/>
                <w:szCs w:val="24"/>
                <w:lang w:val="en-US" w:eastAsia="zh-CN"/>
              </w:rPr>
            </w:pPr>
            <w:r>
              <w:rPr>
                <w:rFonts w:hint="eastAsia"/>
                <w:color w:val="000000"/>
                <w:sz w:val="24"/>
                <w:szCs w:val="24"/>
                <w:lang w:val="en-US" w:eastAsia="zh-CN"/>
              </w:rPr>
              <w:t>14.满足上述条件外，设备外观尺寸应尽量优化，节省空间</w:t>
            </w:r>
          </w:p>
        </w:tc>
        <w:tc>
          <w:tcPr>
            <w:tcW w:w="4135" w:type="dxa"/>
            <w:tcBorders>
              <w:top w:val="single" w:color="FFFFFF" w:sz="6" w:space="0"/>
              <w:left w:val="single" w:color="FFFFFF" w:sz="6" w:space="0"/>
              <w:bottom w:val="single" w:color="FFFFFF" w:sz="18" w:space="0"/>
              <w:right w:val="single" w:color="FFFFFF" w:sz="6" w:space="0"/>
            </w:tcBorders>
            <w:shd w:val="clear" w:color="auto" w:fill="E9ECF6"/>
            <w:tcMar>
              <w:top w:w="72" w:type="dxa"/>
              <w:left w:w="144" w:type="dxa"/>
              <w:bottom w:w="72" w:type="dxa"/>
              <w:right w:w="144" w:type="dxa"/>
            </w:tcMar>
            <w:vAlign w:val="center"/>
          </w:tcPr>
          <w:p w14:paraId="00B58516">
            <w:pPr>
              <w:pStyle w:val="3"/>
              <w:keepNext w:val="0"/>
              <w:keepLines w:val="0"/>
              <w:widowControl/>
              <w:suppressLineNumbers w:val="0"/>
              <w:kinsoku/>
              <w:wordWrap/>
              <w:overflowPunct/>
              <w:jc w:val="left"/>
              <w:rPr>
                <w:sz w:val="20"/>
                <w:szCs w:val="20"/>
              </w:rPr>
            </w:pPr>
            <w:r>
              <w:rPr>
                <w:color w:val="000000"/>
                <w:sz w:val="24"/>
                <w:szCs w:val="24"/>
              </w:rPr>
              <w:t>1.满足60~80人使用</w:t>
            </w:r>
          </w:p>
          <w:p w14:paraId="29F566CD">
            <w:pPr>
              <w:pStyle w:val="3"/>
              <w:keepNext w:val="0"/>
              <w:keepLines w:val="0"/>
              <w:widowControl/>
              <w:suppressLineNumbers w:val="0"/>
              <w:kinsoku/>
              <w:wordWrap/>
              <w:overflowPunct/>
              <w:jc w:val="left"/>
              <w:rPr>
                <w:sz w:val="20"/>
                <w:szCs w:val="20"/>
              </w:rPr>
            </w:pPr>
            <w:r>
              <w:rPr>
                <w:color w:val="000000"/>
                <w:sz w:val="24"/>
                <w:szCs w:val="24"/>
              </w:rPr>
              <w:t>2.制热功率≥2200w</w:t>
            </w:r>
          </w:p>
          <w:p w14:paraId="771FCA1A">
            <w:pPr>
              <w:pStyle w:val="3"/>
              <w:keepNext w:val="0"/>
              <w:keepLines w:val="0"/>
              <w:widowControl/>
              <w:suppressLineNumbers w:val="0"/>
              <w:kinsoku/>
              <w:wordWrap/>
              <w:overflowPunct/>
              <w:jc w:val="left"/>
              <w:rPr>
                <w:sz w:val="20"/>
                <w:szCs w:val="20"/>
              </w:rPr>
            </w:pPr>
            <w:r>
              <w:rPr>
                <w:color w:val="000000"/>
                <w:sz w:val="24"/>
                <w:szCs w:val="24"/>
              </w:rPr>
              <w:t>3.制水通量≥300GPD</w:t>
            </w:r>
          </w:p>
          <w:p w14:paraId="41DE23BC">
            <w:pPr>
              <w:pStyle w:val="3"/>
              <w:keepNext w:val="0"/>
              <w:keepLines w:val="0"/>
              <w:widowControl/>
              <w:suppressLineNumbers w:val="0"/>
              <w:kinsoku/>
              <w:wordWrap/>
              <w:overflowPunct/>
              <w:jc w:val="left"/>
              <w:rPr>
                <w:sz w:val="20"/>
                <w:szCs w:val="20"/>
              </w:rPr>
            </w:pPr>
            <w:r>
              <w:rPr>
                <w:color w:val="000000"/>
                <w:sz w:val="24"/>
                <w:szCs w:val="24"/>
              </w:rPr>
              <w:t>4.常温水箱≥10L</w:t>
            </w:r>
          </w:p>
          <w:p w14:paraId="48611843">
            <w:pPr>
              <w:pStyle w:val="3"/>
              <w:keepNext w:val="0"/>
              <w:keepLines w:val="0"/>
              <w:widowControl/>
              <w:suppressLineNumbers w:val="0"/>
              <w:kinsoku/>
              <w:wordWrap/>
              <w:overflowPunct/>
              <w:jc w:val="left"/>
              <w:rPr>
                <w:sz w:val="20"/>
                <w:szCs w:val="20"/>
              </w:rPr>
            </w:pPr>
            <w:r>
              <w:rPr>
                <w:color w:val="000000"/>
                <w:sz w:val="24"/>
                <w:szCs w:val="24"/>
              </w:rPr>
              <w:t>5.热罐容量≥10L</w:t>
            </w:r>
          </w:p>
          <w:p w14:paraId="6DF712F7">
            <w:pPr>
              <w:pStyle w:val="3"/>
              <w:keepNext w:val="0"/>
              <w:keepLines w:val="0"/>
              <w:widowControl/>
              <w:suppressLineNumbers w:val="0"/>
              <w:kinsoku/>
              <w:wordWrap/>
              <w:overflowPunct/>
              <w:jc w:val="left"/>
              <w:rPr>
                <w:sz w:val="20"/>
                <w:szCs w:val="20"/>
              </w:rPr>
            </w:pPr>
            <w:r>
              <w:rPr>
                <w:color w:val="000000"/>
                <w:sz w:val="24"/>
                <w:szCs w:val="24"/>
              </w:rPr>
              <w:t>6.热水加热温度≥97℃</w:t>
            </w:r>
          </w:p>
          <w:p w14:paraId="24801188">
            <w:pPr>
              <w:pStyle w:val="3"/>
              <w:keepNext w:val="0"/>
              <w:keepLines w:val="0"/>
              <w:widowControl/>
              <w:suppressLineNumbers w:val="0"/>
              <w:kinsoku/>
              <w:wordWrap/>
              <w:overflowPunct/>
              <w:jc w:val="left"/>
              <w:rPr>
                <w:sz w:val="20"/>
                <w:szCs w:val="20"/>
              </w:rPr>
            </w:pPr>
            <w:r>
              <w:rPr>
                <w:color w:val="000000"/>
                <w:sz w:val="24"/>
                <w:szCs w:val="24"/>
              </w:rPr>
              <w:t>7.</w:t>
            </w:r>
            <w:r>
              <w:rPr>
                <w:rFonts w:hint="eastAsia"/>
                <w:color w:val="000000"/>
                <w:sz w:val="24"/>
                <w:szCs w:val="24"/>
                <w:lang w:val="en-US" w:eastAsia="zh-CN"/>
              </w:rPr>
              <w:t>≥</w:t>
            </w:r>
            <w:r>
              <w:rPr>
                <w:color w:val="000000"/>
                <w:sz w:val="24"/>
                <w:szCs w:val="24"/>
              </w:rPr>
              <w:t>双水嘴</w:t>
            </w:r>
            <w:r>
              <w:rPr>
                <w:rFonts w:hint="eastAsia"/>
                <w:color w:val="000000"/>
                <w:sz w:val="24"/>
                <w:szCs w:val="24"/>
                <w:lang w:eastAsia="zh-CN"/>
              </w:rPr>
              <w:t>（</w:t>
            </w:r>
            <w:r>
              <w:rPr>
                <w:color w:val="000000"/>
                <w:sz w:val="24"/>
                <w:szCs w:val="24"/>
              </w:rPr>
              <w:t>可同时取常温及热水</w:t>
            </w:r>
            <w:r>
              <w:rPr>
                <w:rFonts w:hint="eastAsia"/>
                <w:color w:val="000000"/>
                <w:sz w:val="24"/>
                <w:szCs w:val="24"/>
                <w:lang w:eastAsia="zh-CN"/>
              </w:rPr>
              <w:t>）</w:t>
            </w:r>
          </w:p>
          <w:p w14:paraId="33663860">
            <w:pPr>
              <w:pStyle w:val="3"/>
              <w:keepNext w:val="0"/>
              <w:keepLines w:val="0"/>
              <w:widowControl/>
              <w:suppressLineNumbers w:val="0"/>
              <w:kinsoku/>
              <w:wordWrap/>
              <w:overflowPunct/>
              <w:jc w:val="left"/>
              <w:rPr>
                <w:sz w:val="20"/>
                <w:szCs w:val="20"/>
              </w:rPr>
            </w:pPr>
            <w:r>
              <w:rPr>
                <w:color w:val="000000"/>
                <w:sz w:val="24"/>
                <w:szCs w:val="24"/>
              </w:rPr>
              <w:t>8.机械按钮，带童锁</w:t>
            </w:r>
          </w:p>
          <w:p w14:paraId="1616A5DC">
            <w:pPr>
              <w:pStyle w:val="3"/>
              <w:keepNext w:val="0"/>
              <w:keepLines w:val="0"/>
              <w:widowControl/>
              <w:suppressLineNumbers w:val="0"/>
              <w:kinsoku/>
              <w:wordWrap/>
              <w:overflowPunct/>
              <w:jc w:val="left"/>
              <w:rPr>
                <w:sz w:val="20"/>
                <w:szCs w:val="20"/>
              </w:rPr>
            </w:pPr>
            <w:r>
              <w:rPr>
                <w:color w:val="000000"/>
                <w:sz w:val="24"/>
                <w:szCs w:val="24"/>
              </w:rPr>
              <w:t>9.滤芯寿命显示</w:t>
            </w:r>
          </w:p>
          <w:p w14:paraId="6B924ED0">
            <w:pPr>
              <w:pStyle w:val="3"/>
              <w:keepNext w:val="0"/>
              <w:keepLines w:val="0"/>
              <w:widowControl/>
              <w:suppressLineNumbers w:val="0"/>
              <w:kinsoku/>
              <w:wordWrap/>
              <w:overflowPunct/>
              <w:jc w:val="left"/>
              <w:rPr>
                <w:sz w:val="20"/>
                <w:szCs w:val="20"/>
              </w:rPr>
            </w:pPr>
            <w:r>
              <w:rPr>
                <w:color w:val="000000"/>
                <w:sz w:val="24"/>
                <w:szCs w:val="24"/>
              </w:rPr>
              <w:t>10.食品级不锈钢全密封式内胆</w:t>
            </w:r>
          </w:p>
          <w:p w14:paraId="72399A12">
            <w:pPr>
              <w:pStyle w:val="3"/>
              <w:keepNext w:val="0"/>
              <w:keepLines w:val="0"/>
              <w:widowControl/>
              <w:suppressLineNumbers w:val="0"/>
              <w:kinsoku/>
              <w:wordWrap/>
              <w:overflowPunct/>
              <w:jc w:val="left"/>
              <w:rPr>
                <w:sz w:val="20"/>
                <w:szCs w:val="20"/>
              </w:rPr>
            </w:pPr>
            <w:r>
              <w:rPr>
                <w:color w:val="000000"/>
                <w:sz w:val="24"/>
                <w:szCs w:val="24"/>
              </w:rPr>
              <w:t>11.内置UV消毒</w:t>
            </w:r>
          </w:p>
          <w:p w14:paraId="071E42BA">
            <w:pPr>
              <w:pStyle w:val="3"/>
              <w:keepNext w:val="0"/>
              <w:keepLines w:val="0"/>
              <w:widowControl/>
              <w:suppressLineNumbers w:val="0"/>
              <w:kinsoku/>
              <w:wordWrap/>
              <w:overflowPunct/>
              <w:jc w:val="left"/>
              <w:rPr>
                <w:sz w:val="20"/>
                <w:szCs w:val="20"/>
              </w:rPr>
            </w:pPr>
            <w:r>
              <w:rPr>
                <w:color w:val="000000"/>
                <w:sz w:val="24"/>
                <w:szCs w:val="24"/>
              </w:rPr>
              <w:t>12.接水盒带外接排水功能</w:t>
            </w:r>
          </w:p>
          <w:p w14:paraId="7E3311BB">
            <w:pPr>
              <w:pStyle w:val="3"/>
              <w:keepNext w:val="0"/>
              <w:keepLines w:val="0"/>
              <w:widowControl/>
              <w:suppressLineNumbers w:val="0"/>
              <w:kinsoku/>
              <w:wordWrap/>
              <w:overflowPunct/>
              <w:jc w:val="left"/>
              <w:rPr>
                <w:color w:val="000000"/>
                <w:sz w:val="24"/>
                <w:szCs w:val="24"/>
              </w:rPr>
            </w:pPr>
            <w:r>
              <w:rPr>
                <w:color w:val="000000"/>
                <w:sz w:val="24"/>
                <w:szCs w:val="24"/>
              </w:rPr>
              <w:t>13.接水高度≥30cm</w:t>
            </w:r>
          </w:p>
          <w:p w14:paraId="651326B7">
            <w:pPr>
              <w:pStyle w:val="3"/>
              <w:keepNext w:val="0"/>
              <w:keepLines w:val="0"/>
              <w:widowControl/>
              <w:suppressLineNumbers w:val="0"/>
              <w:kinsoku/>
              <w:wordWrap/>
              <w:overflowPunct/>
              <w:jc w:val="left"/>
              <w:rPr>
                <w:color w:val="000000"/>
                <w:sz w:val="24"/>
                <w:szCs w:val="24"/>
              </w:rPr>
            </w:pPr>
            <w:r>
              <w:rPr>
                <w:rFonts w:hint="eastAsia"/>
                <w:color w:val="000000"/>
                <w:sz w:val="24"/>
                <w:szCs w:val="24"/>
                <w:lang w:val="en-US" w:eastAsia="zh-CN"/>
              </w:rPr>
              <w:t>14.满足上述条件外，设备外观尺寸应尽量优化，节省空间</w:t>
            </w:r>
          </w:p>
        </w:tc>
      </w:tr>
    </w:tbl>
    <w:p w14:paraId="6D4B80C7">
      <w:pPr>
        <w:spacing w:line="240" w:lineRule="auto"/>
        <w:rPr>
          <w:rFonts w:hint="default" w:asciiTheme="minorEastAsia" w:hAnsiTheme="minorEastAsia" w:eastAsiaTheme="minorEastAsia" w:cstheme="minorEastAsia"/>
          <w:sz w:val="28"/>
          <w:szCs w:val="28"/>
          <w:highlight w:val="yellow"/>
          <w:lang w:val="en-US" w:eastAsia="zh-CN"/>
        </w:rPr>
      </w:pPr>
      <w:r>
        <w:rPr>
          <w:rFonts w:hint="eastAsia" w:asciiTheme="minorEastAsia" w:hAnsiTheme="minorEastAsia" w:cstheme="minorEastAsia"/>
          <w:sz w:val="28"/>
          <w:szCs w:val="28"/>
          <w:highlight w:val="yellow"/>
          <w:lang w:val="en-US" w:eastAsia="zh-CN"/>
        </w:rPr>
        <w:t>*供应商应在调研报价文件中，独立一章对所拟提供的设备产品各类参数、技术文件进行详细说明，包括且不限于上表格提及内容。</w:t>
      </w:r>
    </w:p>
    <w:p w14:paraId="1CCF88F5">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六、 </w:t>
      </w:r>
      <w:r>
        <w:rPr>
          <w:rFonts w:hint="eastAsia" w:asciiTheme="minorEastAsia" w:hAnsiTheme="minorEastAsia" w:cstheme="minorEastAsia"/>
          <w:sz w:val="28"/>
          <w:szCs w:val="28"/>
          <w:lang w:val="en-US" w:eastAsia="zh-CN"/>
        </w:rPr>
        <w:t>资格</w:t>
      </w:r>
      <w:r>
        <w:rPr>
          <w:rFonts w:hint="eastAsia" w:asciiTheme="minorEastAsia" w:hAnsiTheme="minorEastAsia" w:eastAsiaTheme="minorEastAsia" w:cstheme="minorEastAsia"/>
          <w:sz w:val="28"/>
          <w:szCs w:val="28"/>
          <w:lang w:val="en-US" w:eastAsia="zh-CN"/>
        </w:rPr>
        <w:t>要求</w:t>
      </w:r>
    </w:p>
    <w:p w14:paraId="06E5FF9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lang w:val="en-US" w:eastAsia="zh-CN"/>
        </w:rPr>
        <w:t>必须是具有独立承担民事责任能力的在中华人民共和国境内注册的法人或其他组织或自然人，分公司投标的，必须由具有法人资格的总公司授权；</w:t>
      </w:r>
    </w:p>
    <w:p w14:paraId="07FA54B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2.具备《中华人民共和国政府采购法》第二十二条资格条件；</w:t>
      </w:r>
    </w:p>
    <w:p w14:paraId="5038C9DA">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2.1 提供在中华人民共和国境内有效的执照（或证书）副本、组织机构代码证、税务登记证（国税、地税）复印件或三证合一证明文件复印件证明，投标人需提供完整的最新股东信息（若有）。分公司投标的，必须提供总公司的营业执照副本复印件及总公司针对本项目投标的授权书原件；如投标人为自然人的需提供自然人身份证明； </w:t>
      </w:r>
    </w:p>
    <w:p w14:paraId="01A96506">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2.2 具有良好的商业信誉和健全的财务会计制度（提供资格文件声明函）；</w:t>
      </w:r>
    </w:p>
    <w:p w14:paraId="366BA9FA">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2.3 具有履行合同所必需的设备和专业技术能力（提供资格文件声明函）；</w:t>
      </w:r>
    </w:p>
    <w:p w14:paraId="24302A24">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2.4 有依法缴纳税收和社会保障资金的良好记录（提供资格文件声明函）；</w:t>
      </w:r>
    </w:p>
    <w:p w14:paraId="7013CA21">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2.5 参加政府采购活动前三年内，在经营活动中没有重大违法记录【重大违法记录，是指投标人因违法经营受到刑事处罚或者责令停产停业、吊销许可证或者执照、较大数额罚款等行政处罚。（“较大数额罚款”认定为200万元以上的罚款，法律、行政法规以及国务院有关部门明确规定相关领域“较大数额罚款”标准高于200万元的，从其规定。）】（提供资格文件声明函）；</w:t>
      </w:r>
    </w:p>
    <w:p w14:paraId="11206AEE">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2.6 法律、行政法规规定的其他条件（提供资格文件声明函）。</w:t>
      </w:r>
    </w:p>
    <w:p w14:paraId="558E64F6">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 不同的投标人之间有下列情形之一的，不接受作为参与同一采购项目竞争的投标人（提供资格文件声明函）：</w:t>
      </w:r>
    </w:p>
    <w:p w14:paraId="2B05F947">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 法定代表人或单位负责人为同一人或者存在直接控股、管理关系的投标人。</w:t>
      </w:r>
    </w:p>
    <w:p w14:paraId="1C0E7DE3">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 为采购项目提供整体设计、规范编制或者项目管理、监理、检测等服务的投标人。</w:t>
      </w:r>
    </w:p>
    <w:p w14:paraId="3A3E2711">
      <w:pPr>
        <w:spacing w:line="240" w:lineRule="auto"/>
        <w:rPr>
          <w:rFonts w:hint="eastAsia" w:asciiTheme="minorEastAsia" w:hAnsiTheme="minorEastAsia" w:eastAsiaTheme="minorEastAsia" w:cstheme="minorEastAsia"/>
          <w:sz w:val="28"/>
          <w:szCs w:val="28"/>
          <w:lang w:val="en-US" w:eastAsia="zh-CN"/>
        </w:rPr>
      </w:pPr>
    </w:p>
    <w:p w14:paraId="6B38C4E8">
      <w:pPr>
        <w:spacing w:line="240" w:lineRule="auto"/>
        <w:rPr>
          <w:rFonts w:hint="eastAsia" w:asciiTheme="minorEastAsia" w:hAnsiTheme="minorEastAsia" w:eastAsiaTheme="minorEastAsia" w:cstheme="minorEastAsia"/>
          <w:sz w:val="28"/>
          <w:szCs w:val="28"/>
          <w:lang w:val="en-US" w:eastAsia="zh-CN"/>
        </w:rPr>
      </w:pPr>
    </w:p>
    <w:p w14:paraId="4178F235">
      <w:pPr>
        <w:spacing w:line="240" w:lineRule="auto"/>
        <w:rPr>
          <w:rFonts w:hint="eastAsia" w:asciiTheme="minorEastAsia" w:hAnsiTheme="minorEastAsia" w:eastAsiaTheme="minorEastAsia" w:cstheme="minorEastAsia"/>
          <w:sz w:val="28"/>
          <w:szCs w:val="28"/>
          <w:lang w:val="en-US" w:eastAsia="zh-CN"/>
        </w:rPr>
      </w:pPr>
    </w:p>
    <w:p w14:paraId="6F5539E2">
      <w:pPr>
        <w:spacing w:line="240" w:lineRule="auto"/>
        <w:rPr>
          <w:rFonts w:hint="eastAsia" w:asciiTheme="minorEastAsia" w:hAnsiTheme="minorEastAsia" w:eastAsiaTheme="minorEastAsia" w:cstheme="minorEastAsia"/>
          <w:sz w:val="28"/>
          <w:szCs w:val="28"/>
          <w:lang w:val="en-US" w:eastAsia="zh-CN"/>
        </w:rPr>
      </w:pPr>
    </w:p>
    <w:p w14:paraId="71734304">
      <w:pPr>
        <w:spacing w:line="240" w:lineRule="auto"/>
        <w:rPr>
          <w:rFonts w:hint="eastAsia" w:asciiTheme="minorEastAsia" w:hAnsiTheme="minorEastAsia" w:eastAsiaTheme="minorEastAsia" w:cstheme="minorEastAsia"/>
          <w:sz w:val="28"/>
          <w:szCs w:val="28"/>
          <w:lang w:val="en-US" w:eastAsia="zh-CN"/>
        </w:rPr>
      </w:pPr>
    </w:p>
    <w:p w14:paraId="6A495DEA">
      <w:pPr>
        <w:spacing w:line="240" w:lineRule="auto"/>
        <w:rPr>
          <w:rFonts w:hint="eastAsia" w:asciiTheme="minorEastAsia" w:hAnsiTheme="minorEastAsia" w:eastAsiaTheme="minorEastAsia" w:cstheme="minorEastAsia"/>
          <w:sz w:val="28"/>
          <w:szCs w:val="28"/>
          <w:lang w:val="en-US" w:eastAsia="zh-CN"/>
        </w:rPr>
      </w:pPr>
    </w:p>
    <w:p w14:paraId="415D98AC">
      <w:pPr>
        <w:spacing w:line="240" w:lineRule="auto"/>
        <w:rPr>
          <w:rFonts w:hint="eastAsia" w:asciiTheme="minorEastAsia" w:hAnsiTheme="minorEastAsia" w:eastAsiaTheme="minorEastAsia" w:cstheme="minorEastAsia"/>
          <w:sz w:val="28"/>
          <w:szCs w:val="28"/>
          <w:lang w:val="en-US" w:eastAsia="zh-CN"/>
        </w:rPr>
      </w:pPr>
    </w:p>
    <w:p w14:paraId="2C31BEBD">
      <w:pPr>
        <w:spacing w:line="240" w:lineRule="auto"/>
        <w:rPr>
          <w:rFonts w:hint="eastAsia" w:asciiTheme="minorEastAsia" w:hAnsiTheme="minorEastAsia" w:eastAsiaTheme="minorEastAsia" w:cstheme="minorEastAsia"/>
          <w:sz w:val="28"/>
          <w:szCs w:val="28"/>
          <w:lang w:val="en-US" w:eastAsia="zh-CN"/>
        </w:rPr>
      </w:pPr>
    </w:p>
    <w:p w14:paraId="06337EA3">
      <w:pPr>
        <w:spacing w:line="24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七、 报价表格</w:t>
      </w:r>
    </w:p>
    <w:p w14:paraId="7E891D10">
      <w:pPr>
        <w:spacing w:line="240" w:lineRule="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本项目拟按22个月或36个月租赁期执行，供应商应分别进行报价。</w:t>
      </w:r>
    </w:p>
    <w:p w14:paraId="5F840619">
      <w:pPr>
        <w:pStyle w:val="7"/>
        <w:spacing w:line="240" w:lineRule="auto"/>
        <w:rPr>
          <w:rFonts w:hint="eastAsia" w:ascii="仿宋" w:hAnsi="仿宋" w:eastAsia="仿宋"/>
          <w:color w:val="auto"/>
          <w:kern w:val="2"/>
          <w:sz w:val="28"/>
          <w:szCs w:val="28"/>
          <w:lang w:bidi="ar"/>
        </w:rPr>
      </w:pPr>
      <w:r>
        <w:rPr>
          <w:rFonts w:hint="eastAsia" w:ascii="仿宋" w:hAnsi="仿宋" w:eastAsia="仿宋"/>
          <w:color w:val="auto"/>
          <w:kern w:val="2"/>
          <w:sz w:val="28"/>
          <w:szCs w:val="28"/>
          <w:lang w:bidi="ar"/>
        </w:rPr>
        <w:t xml:space="preserve">项目名称：                                  </w:t>
      </w:r>
    </w:p>
    <w:p w14:paraId="507B0B8B">
      <w:pPr>
        <w:pStyle w:val="7"/>
        <w:spacing w:line="240" w:lineRule="auto"/>
        <w:rPr>
          <w:rFonts w:hint="eastAsia" w:ascii="仿宋" w:hAnsi="仿宋" w:eastAsia="仿宋"/>
          <w:color w:val="auto"/>
          <w:kern w:val="2"/>
          <w:sz w:val="28"/>
          <w:szCs w:val="28"/>
          <w:lang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974"/>
        <w:gridCol w:w="2253"/>
        <w:gridCol w:w="1150"/>
        <w:gridCol w:w="3346"/>
      </w:tblGrid>
      <w:tr w14:paraId="724B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99" w:type="dxa"/>
            <w:vAlign w:val="center"/>
          </w:tcPr>
          <w:p w14:paraId="232DFFF9">
            <w:pPr>
              <w:pStyle w:val="7"/>
              <w:widowControl w:val="0"/>
              <w:spacing w:line="240" w:lineRule="auto"/>
              <w:jc w:val="center"/>
              <w:rPr>
                <w:rFonts w:hint="eastAsia" w:ascii="仿宋" w:hAnsi="仿宋" w:eastAsia="仿宋"/>
                <w:b/>
                <w:bCs/>
                <w:color w:val="auto"/>
                <w:kern w:val="2"/>
                <w:sz w:val="22"/>
                <w:szCs w:val="22"/>
                <w:vertAlign w:val="baseline"/>
                <w:lang w:val="en-US" w:eastAsia="zh-CN" w:bidi="ar"/>
              </w:rPr>
            </w:pPr>
            <w:r>
              <w:rPr>
                <w:rFonts w:hint="eastAsia" w:ascii="仿宋" w:hAnsi="仿宋" w:eastAsia="仿宋"/>
                <w:b/>
                <w:bCs/>
                <w:color w:val="auto"/>
                <w:kern w:val="2"/>
                <w:sz w:val="22"/>
                <w:szCs w:val="22"/>
                <w:vertAlign w:val="baseline"/>
                <w:lang w:val="en-US" w:eastAsia="zh-CN" w:bidi="ar"/>
              </w:rPr>
              <w:t>序号</w:t>
            </w:r>
          </w:p>
        </w:tc>
        <w:tc>
          <w:tcPr>
            <w:tcW w:w="974" w:type="dxa"/>
            <w:vAlign w:val="center"/>
          </w:tcPr>
          <w:p w14:paraId="4A880AD4">
            <w:pPr>
              <w:pStyle w:val="7"/>
              <w:widowControl w:val="0"/>
              <w:spacing w:line="240" w:lineRule="auto"/>
              <w:jc w:val="center"/>
              <w:rPr>
                <w:rFonts w:hint="eastAsia" w:ascii="仿宋" w:hAnsi="仿宋" w:eastAsia="仿宋"/>
                <w:b/>
                <w:bCs/>
                <w:color w:val="auto"/>
                <w:kern w:val="2"/>
                <w:sz w:val="22"/>
                <w:szCs w:val="22"/>
                <w:vertAlign w:val="baseline"/>
                <w:lang w:val="en-US" w:eastAsia="zh-CN" w:bidi="ar"/>
              </w:rPr>
            </w:pPr>
            <w:r>
              <w:rPr>
                <w:rFonts w:hint="eastAsia" w:ascii="仿宋" w:hAnsi="仿宋" w:eastAsia="仿宋"/>
                <w:b/>
                <w:bCs/>
                <w:color w:val="auto"/>
                <w:kern w:val="2"/>
                <w:sz w:val="22"/>
                <w:szCs w:val="22"/>
                <w:vertAlign w:val="baseline"/>
                <w:lang w:val="en-US" w:eastAsia="zh-CN" w:bidi="ar"/>
              </w:rPr>
              <w:t>规格</w:t>
            </w:r>
          </w:p>
        </w:tc>
        <w:tc>
          <w:tcPr>
            <w:tcW w:w="2253" w:type="dxa"/>
            <w:vAlign w:val="center"/>
          </w:tcPr>
          <w:p w14:paraId="0762F2E1">
            <w:pPr>
              <w:pStyle w:val="7"/>
              <w:widowControl w:val="0"/>
              <w:spacing w:line="240" w:lineRule="auto"/>
              <w:jc w:val="center"/>
              <w:rPr>
                <w:rFonts w:hint="eastAsia" w:ascii="仿宋" w:hAnsi="仿宋" w:eastAsia="仿宋"/>
                <w:b/>
                <w:bCs/>
                <w:color w:val="auto"/>
                <w:kern w:val="2"/>
                <w:sz w:val="22"/>
                <w:szCs w:val="22"/>
                <w:vertAlign w:val="baseline"/>
                <w:lang w:val="en-US" w:eastAsia="zh-CN" w:bidi="ar"/>
              </w:rPr>
            </w:pPr>
            <w:r>
              <w:rPr>
                <w:rFonts w:hint="eastAsia" w:ascii="仿宋" w:hAnsi="仿宋" w:eastAsia="仿宋"/>
                <w:b/>
                <w:bCs/>
                <w:color w:val="auto"/>
                <w:kern w:val="2"/>
                <w:sz w:val="22"/>
                <w:szCs w:val="22"/>
                <w:vertAlign w:val="baseline"/>
                <w:lang w:val="en-US" w:eastAsia="zh-CN" w:bidi="ar"/>
              </w:rPr>
              <w:t>单价</w:t>
            </w:r>
          </w:p>
        </w:tc>
        <w:tc>
          <w:tcPr>
            <w:tcW w:w="1150" w:type="dxa"/>
            <w:vAlign w:val="center"/>
          </w:tcPr>
          <w:p w14:paraId="2C8B256F">
            <w:pPr>
              <w:pStyle w:val="7"/>
              <w:widowControl w:val="0"/>
              <w:spacing w:line="240" w:lineRule="auto"/>
              <w:jc w:val="center"/>
              <w:rPr>
                <w:rFonts w:hint="default" w:ascii="仿宋" w:hAnsi="仿宋" w:eastAsia="仿宋"/>
                <w:b/>
                <w:bCs/>
                <w:color w:val="auto"/>
                <w:kern w:val="2"/>
                <w:sz w:val="22"/>
                <w:szCs w:val="22"/>
                <w:vertAlign w:val="baseline"/>
                <w:lang w:val="en-US" w:eastAsia="zh-CN" w:bidi="ar"/>
              </w:rPr>
            </w:pPr>
            <w:r>
              <w:rPr>
                <w:rFonts w:hint="eastAsia" w:ascii="仿宋" w:hAnsi="仿宋" w:eastAsia="仿宋"/>
                <w:b/>
                <w:bCs/>
                <w:color w:val="auto"/>
                <w:kern w:val="2"/>
                <w:sz w:val="22"/>
                <w:szCs w:val="22"/>
                <w:vertAlign w:val="baseline"/>
                <w:lang w:val="en-US" w:eastAsia="zh-CN" w:bidi="ar"/>
              </w:rPr>
              <w:t>租赁期</w:t>
            </w:r>
          </w:p>
        </w:tc>
        <w:tc>
          <w:tcPr>
            <w:tcW w:w="3346" w:type="dxa"/>
            <w:vAlign w:val="center"/>
          </w:tcPr>
          <w:p w14:paraId="7CE90CEB">
            <w:pPr>
              <w:pStyle w:val="7"/>
              <w:widowControl w:val="0"/>
              <w:spacing w:line="240" w:lineRule="auto"/>
              <w:jc w:val="center"/>
              <w:rPr>
                <w:rFonts w:hint="default" w:ascii="仿宋" w:hAnsi="仿宋" w:eastAsia="仿宋"/>
                <w:b/>
                <w:bCs/>
                <w:color w:val="auto"/>
                <w:kern w:val="2"/>
                <w:sz w:val="22"/>
                <w:szCs w:val="22"/>
                <w:vertAlign w:val="baseline"/>
                <w:lang w:val="en-US" w:eastAsia="zh-CN" w:bidi="ar"/>
              </w:rPr>
            </w:pPr>
            <w:r>
              <w:rPr>
                <w:rFonts w:hint="eastAsia" w:ascii="仿宋" w:hAnsi="仿宋" w:eastAsia="仿宋"/>
                <w:b/>
                <w:bCs/>
                <w:color w:val="auto"/>
                <w:kern w:val="2"/>
                <w:sz w:val="22"/>
                <w:szCs w:val="22"/>
                <w:vertAlign w:val="baseline"/>
                <w:lang w:val="en-US" w:eastAsia="zh-CN" w:bidi="ar"/>
              </w:rPr>
              <w:t>合计总金额</w:t>
            </w:r>
          </w:p>
        </w:tc>
      </w:tr>
      <w:tr w14:paraId="7243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99" w:type="dxa"/>
            <w:vAlign w:val="center"/>
          </w:tcPr>
          <w:p w14:paraId="1F6D6737">
            <w:pPr>
              <w:pStyle w:val="7"/>
              <w:widowControl w:val="0"/>
              <w:spacing w:line="240" w:lineRule="auto"/>
              <w:jc w:val="center"/>
              <w:rPr>
                <w:rFonts w:hint="eastAsia"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1</w:t>
            </w:r>
          </w:p>
        </w:tc>
        <w:tc>
          <w:tcPr>
            <w:tcW w:w="974" w:type="dxa"/>
            <w:vAlign w:val="center"/>
          </w:tcPr>
          <w:p w14:paraId="0125BDC7">
            <w:pPr>
              <w:pStyle w:val="7"/>
              <w:widowControl w:val="0"/>
              <w:spacing w:line="240" w:lineRule="auto"/>
              <w:jc w:val="center"/>
              <w:rPr>
                <w:rFonts w:hint="eastAsia"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大型</w:t>
            </w:r>
          </w:p>
        </w:tc>
        <w:tc>
          <w:tcPr>
            <w:tcW w:w="2253" w:type="dxa"/>
            <w:vAlign w:val="center"/>
          </w:tcPr>
          <w:p w14:paraId="1BE3832F">
            <w:pPr>
              <w:pStyle w:val="7"/>
              <w:widowControl w:val="0"/>
              <w:spacing w:line="240" w:lineRule="auto"/>
              <w:jc w:val="center"/>
              <w:rPr>
                <w:rFonts w:hint="default"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r>
              <w:rPr>
                <w:rFonts w:hint="eastAsia" w:ascii="仿宋" w:hAnsi="仿宋" w:eastAsia="仿宋"/>
                <w:color w:val="auto"/>
                <w:kern w:val="2"/>
                <w:sz w:val="22"/>
                <w:szCs w:val="22"/>
                <w:vertAlign w:val="baseline"/>
                <w:lang w:val="en-US" w:eastAsia="zh-CN" w:bidi="ar"/>
              </w:rPr>
              <w:t>台/月</w:t>
            </w:r>
          </w:p>
        </w:tc>
        <w:tc>
          <w:tcPr>
            <w:tcW w:w="1150" w:type="dxa"/>
            <w:vMerge w:val="restart"/>
            <w:vAlign w:val="center"/>
          </w:tcPr>
          <w:p w14:paraId="725BDDDF">
            <w:pPr>
              <w:pStyle w:val="7"/>
              <w:widowControl w:val="0"/>
              <w:spacing w:line="240" w:lineRule="auto"/>
              <w:jc w:val="center"/>
              <w:rPr>
                <w:rFonts w:hint="default" w:ascii="仿宋" w:hAnsi="仿宋" w:eastAsia="仿宋"/>
                <w:color w:val="auto"/>
                <w:kern w:val="2"/>
                <w:sz w:val="22"/>
                <w:szCs w:val="22"/>
                <w:u w:val="single"/>
                <w:vertAlign w:val="baseline"/>
                <w:lang w:val="en-US" w:eastAsia="zh-CN" w:bidi="ar"/>
              </w:rPr>
            </w:pPr>
            <w:r>
              <w:rPr>
                <w:rFonts w:hint="eastAsia" w:ascii="仿宋" w:hAnsi="仿宋" w:eastAsia="仿宋"/>
                <w:color w:val="auto"/>
                <w:kern w:val="2"/>
                <w:sz w:val="22"/>
                <w:szCs w:val="22"/>
                <w:highlight w:val="yellow"/>
                <w:u w:val="none"/>
                <w:vertAlign w:val="baseline"/>
                <w:lang w:val="en-US" w:eastAsia="zh-CN" w:bidi="ar"/>
              </w:rPr>
              <w:t>22个月</w:t>
            </w:r>
          </w:p>
        </w:tc>
        <w:tc>
          <w:tcPr>
            <w:tcW w:w="3346" w:type="dxa"/>
            <w:vMerge w:val="restart"/>
            <w:vAlign w:val="center"/>
          </w:tcPr>
          <w:p w14:paraId="3567C9A2">
            <w:pPr>
              <w:pStyle w:val="7"/>
              <w:widowControl w:val="0"/>
              <w:spacing w:line="240" w:lineRule="auto"/>
              <w:jc w:val="center"/>
              <w:rPr>
                <w:rFonts w:hint="eastAsia" w:ascii="仿宋" w:hAnsi="仿宋" w:eastAsia="仿宋"/>
                <w:color w:val="auto"/>
                <w:kern w:val="2"/>
                <w:sz w:val="22"/>
                <w:szCs w:val="22"/>
                <w:u w:val="none"/>
                <w:vertAlign w:val="baseline"/>
                <w:lang w:val="en-US" w:eastAsia="zh-CN" w:bidi="ar"/>
              </w:rPr>
            </w:pPr>
            <w:r>
              <w:rPr>
                <w:rFonts w:hint="eastAsia" w:ascii="仿宋" w:hAnsi="仿宋" w:eastAsia="仿宋" w:cs="宋体"/>
                <w:bCs/>
                <w:sz w:val="22"/>
                <w:szCs w:val="22"/>
              </w:rPr>
              <w:t>￥</w:t>
            </w:r>
            <w:r>
              <w:rPr>
                <w:rFonts w:hint="eastAsia" w:ascii="仿宋" w:hAnsi="仿宋" w:eastAsia="仿宋" w:cs="宋体"/>
                <w:bCs/>
                <w:sz w:val="22"/>
                <w:szCs w:val="22"/>
                <w:lang w:val="en-US" w:eastAsia="zh-CN"/>
              </w:rPr>
              <w:t xml:space="preserve">  </w:t>
            </w: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p>
          <w:p w14:paraId="39BFAF7E">
            <w:pPr>
              <w:pStyle w:val="7"/>
              <w:widowControl w:val="0"/>
              <w:spacing w:line="240" w:lineRule="auto"/>
              <w:jc w:val="center"/>
              <w:rPr>
                <w:rFonts w:hint="eastAsia" w:ascii="仿宋" w:hAnsi="仿宋" w:eastAsia="仿宋"/>
                <w:color w:val="auto"/>
                <w:kern w:val="2"/>
                <w:sz w:val="22"/>
                <w:szCs w:val="22"/>
                <w:u w:val="none"/>
                <w:vertAlign w:val="baseline"/>
                <w:lang w:val="en-US" w:eastAsia="zh-CN" w:bidi="ar"/>
              </w:rPr>
            </w:pPr>
            <w:r>
              <w:rPr>
                <w:rFonts w:hint="eastAsia" w:ascii="仿宋" w:hAnsi="仿宋" w:eastAsia="仿宋"/>
                <w:color w:val="auto"/>
                <w:kern w:val="2"/>
                <w:sz w:val="22"/>
                <w:szCs w:val="22"/>
                <w:u w:val="none"/>
                <w:vertAlign w:val="baseline"/>
                <w:lang w:val="en-US" w:eastAsia="zh-CN" w:bidi="ar"/>
              </w:rPr>
              <w:t>大写</w:t>
            </w: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p>
        </w:tc>
      </w:tr>
      <w:tr w14:paraId="320D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99" w:type="dxa"/>
            <w:vAlign w:val="center"/>
          </w:tcPr>
          <w:p w14:paraId="085A934E">
            <w:pPr>
              <w:pStyle w:val="7"/>
              <w:widowControl w:val="0"/>
              <w:spacing w:line="240" w:lineRule="auto"/>
              <w:jc w:val="center"/>
              <w:rPr>
                <w:rFonts w:hint="eastAsia"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2</w:t>
            </w:r>
          </w:p>
        </w:tc>
        <w:tc>
          <w:tcPr>
            <w:tcW w:w="974" w:type="dxa"/>
            <w:vAlign w:val="center"/>
          </w:tcPr>
          <w:p w14:paraId="695DDDE8">
            <w:pPr>
              <w:pStyle w:val="7"/>
              <w:widowControl w:val="0"/>
              <w:spacing w:line="240" w:lineRule="auto"/>
              <w:jc w:val="center"/>
              <w:rPr>
                <w:rFonts w:hint="eastAsia"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小型</w:t>
            </w:r>
          </w:p>
        </w:tc>
        <w:tc>
          <w:tcPr>
            <w:tcW w:w="2253" w:type="dxa"/>
            <w:vAlign w:val="center"/>
          </w:tcPr>
          <w:p w14:paraId="7F5208D0">
            <w:pPr>
              <w:pStyle w:val="7"/>
              <w:widowControl w:val="0"/>
              <w:spacing w:line="240" w:lineRule="auto"/>
              <w:jc w:val="center"/>
              <w:rPr>
                <w:rFonts w:hint="eastAsia" w:ascii="仿宋" w:hAnsi="仿宋" w:eastAsia="仿宋"/>
                <w:color w:val="auto"/>
                <w:kern w:val="2"/>
                <w:sz w:val="22"/>
                <w:szCs w:val="22"/>
                <w:vertAlign w:val="baseline"/>
                <w:lang w:bidi="ar"/>
              </w:rPr>
            </w:pP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r>
              <w:rPr>
                <w:rFonts w:hint="eastAsia" w:ascii="仿宋" w:hAnsi="仿宋" w:eastAsia="仿宋"/>
                <w:color w:val="auto"/>
                <w:kern w:val="2"/>
                <w:sz w:val="22"/>
                <w:szCs w:val="22"/>
                <w:vertAlign w:val="baseline"/>
                <w:lang w:val="en-US" w:eastAsia="zh-CN" w:bidi="ar"/>
              </w:rPr>
              <w:t>台/月</w:t>
            </w:r>
          </w:p>
        </w:tc>
        <w:tc>
          <w:tcPr>
            <w:tcW w:w="1150" w:type="dxa"/>
            <w:vMerge w:val="continue"/>
            <w:vAlign w:val="center"/>
          </w:tcPr>
          <w:p w14:paraId="7DD9DAC3">
            <w:pPr>
              <w:pStyle w:val="7"/>
              <w:widowControl w:val="0"/>
              <w:spacing w:line="240" w:lineRule="auto"/>
              <w:jc w:val="center"/>
              <w:rPr>
                <w:rFonts w:hint="eastAsia" w:ascii="仿宋" w:hAnsi="仿宋" w:eastAsia="仿宋"/>
                <w:color w:val="auto"/>
                <w:kern w:val="2"/>
                <w:sz w:val="22"/>
                <w:szCs w:val="22"/>
                <w:vertAlign w:val="baseline"/>
                <w:lang w:bidi="ar"/>
              </w:rPr>
            </w:pPr>
          </w:p>
        </w:tc>
        <w:tc>
          <w:tcPr>
            <w:tcW w:w="3346" w:type="dxa"/>
            <w:vMerge w:val="continue"/>
            <w:vAlign w:val="center"/>
          </w:tcPr>
          <w:p w14:paraId="3BC48A18">
            <w:pPr>
              <w:pStyle w:val="7"/>
              <w:widowControl w:val="0"/>
              <w:spacing w:line="240" w:lineRule="auto"/>
              <w:jc w:val="center"/>
              <w:rPr>
                <w:rFonts w:hint="eastAsia" w:ascii="仿宋" w:hAnsi="仿宋" w:eastAsia="仿宋"/>
                <w:color w:val="auto"/>
                <w:kern w:val="2"/>
                <w:sz w:val="22"/>
                <w:szCs w:val="22"/>
                <w:vertAlign w:val="baseline"/>
                <w:lang w:bidi="ar"/>
              </w:rPr>
            </w:pPr>
          </w:p>
        </w:tc>
      </w:tr>
      <w:tr w14:paraId="4D3D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99" w:type="dxa"/>
            <w:vAlign w:val="center"/>
          </w:tcPr>
          <w:p w14:paraId="13A9DCAA">
            <w:pPr>
              <w:pStyle w:val="7"/>
              <w:widowControl w:val="0"/>
              <w:spacing w:line="240" w:lineRule="auto"/>
              <w:jc w:val="center"/>
              <w:rPr>
                <w:rFonts w:hint="default"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3</w:t>
            </w:r>
          </w:p>
        </w:tc>
        <w:tc>
          <w:tcPr>
            <w:tcW w:w="974" w:type="dxa"/>
            <w:shd w:val="clear" w:color="auto" w:fill="auto"/>
            <w:vAlign w:val="center"/>
          </w:tcPr>
          <w:p w14:paraId="738AC885">
            <w:pPr>
              <w:pStyle w:val="7"/>
              <w:widowControl w:val="0"/>
              <w:spacing w:line="240" w:lineRule="auto"/>
              <w:jc w:val="center"/>
              <w:rPr>
                <w:rFonts w:hint="eastAsia" w:ascii="仿宋" w:hAnsi="仿宋" w:eastAsia="仿宋" w:cs="宋体"/>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大型</w:t>
            </w:r>
          </w:p>
        </w:tc>
        <w:tc>
          <w:tcPr>
            <w:tcW w:w="2253" w:type="dxa"/>
            <w:shd w:val="clear" w:color="auto" w:fill="auto"/>
            <w:vAlign w:val="center"/>
          </w:tcPr>
          <w:p w14:paraId="788A084F">
            <w:pPr>
              <w:pStyle w:val="7"/>
              <w:widowControl w:val="0"/>
              <w:spacing w:line="240" w:lineRule="auto"/>
              <w:jc w:val="center"/>
              <w:rPr>
                <w:rFonts w:hint="eastAsia" w:ascii="仿宋" w:hAnsi="仿宋" w:eastAsia="仿宋" w:cs="宋体"/>
                <w:color w:val="auto"/>
                <w:kern w:val="2"/>
                <w:sz w:val="22"/>
                <w:szCs w:val="22"/>
                <w:vertAlign w:val="baseline"/>
                <w:lang w:val="en-US" w:eastAsia="zh-CN" w:bidi="ar"/>
              </w:rPr>
            </w:pP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r>
              <w:rPr>
                <w:rFonts w:hint="eastAsia" w:ascii="仿宋" w:hAnsi="仿宋" w:eastAsia="仿宋"/>
                <w:color w:val="auto"/>
                <w:kern w:val="2"/>
                <w:sz w:val="22"/>
                <w:szCs w:val="22"/>
                <w:vertAlign w:val="baseline"/>
                <w:lang w:val="en-US" w:eastAsia="zh-CN" w:bidi="ar"/>
              </w:rPr>
              <w:t>台/月</w:t>
            </w:r>
          </w:p>
        </w:tc>
        <w:tc>
          <w:tcPr>
            <w:tcW w:w="1150" w:type="dxa"/>
            <w:vMerge w:val="restart"/>
            <w:shd w:val="clear" w:color="auto" w:fill="auto"/>
            <w:vAlign w:val="center"/>
          </w:tcPr>
          <w:p w14:paraId="543974C6">
            <w:pPr>
              <w:pStyle w:val="7"/>
              <w:widowControl w:val="0"/>
              <w:spacing w:line="240" w:lineRule="auto"/>
              <w:jc w:val="center"/>
              <w:rPr>
                <w:rFonts w:hint="eastAsia" w:ascii="仿宋" w:hAnsi="仿宋" w:eastAsia="仿宋" w:cs="宋体"/>
                <w:color w:val="auto"/>
                <w:kern w:val="2"/>
                <w:sz w:val="22"/>
                <w:szCs w:val="22"/>
                <w:u w:val="single"/>
                <w:vertAlign w:val="baseline"/>
                <w:lang w:val="en-US" w:eastAsia="zh-CN" w:bidi="ar"/>
              </w:rPr>
            </w:pPr>
            <w:r>
              <w:rPr>
                <w:rFonts w:hint="eastAsia" w:ascii="仿宋" w:hAnsi="仿宋" w:eastAsia="仿宋"/>
                <w:color w:val="auto"/>
                <w:kern w:val="2"/>
                <w:sz w:val="22"/>
                <w:szCs w:val="22"/>
                <w:highlight w:val="yellow"/>
                <w:u w:val="none"/>
                <w:vertAlign w:val="baseline"/>
                <w:lang w:val="en-US" w:eastAsia="zh-CN" w:bidi="ar"/>
              </w:rPr>
              <w:t>36个月</w:t>
            </w:r>
          </w:p>
        </w:tc>
        <w:tc>
          <w:tcPr>
            <w:tcW w:w="3346" w:type="dxa"/>
            <w:vMerge w:val="restart"/>
            <w:shd w:val="clear" w:color="auto" w:fill="auto"/>
            <w:vAlign w:val="center"/>
          </w:tcPr>
          <w:p w14:paraId="45D7EEBB">
            <w:pPr>
              <w:pStyle w:val="7"/>
              <w:widowControl w:val="0"/>
              <w:spacing w:line="240" w:lineRule="auto"/>
              <w:jc w:val="center"/>
              <w:rPr>
                <w:rFonts w:hint="eastAsia" w:ascii="仿宋" w:hAnsi="仿宋" w:eastAsia="仿宋"/>
                <w:color w:val="auto"/>
                <w:kern w:val="2"/>
                <w:sz w:val="22"/>
                <w:szCs w:val="22"/>
                <w:u w:val="none"/>
                <w:vertAlign w:val="baseline"/>
                <w:lang w:val="en-US" w:eastAsia="zh-CN" w:bidi="ar"/>
              </w:rPr>
            </w:pPr>
            <w:r>
              <w:rPr>
                <w:rFonts w:hint="eastAsia" w:ascii="仿宋" w:hAnsi="仿宋" w:eastAsia="仿宋" w:cs="宋体"/>
                <w:bCs/>
                <w:sz w:val="22"/>
                <w:szCs w:val="22"/>
              </w:rPr>
              <w:t>￥</w:t>
            </w:r>
            <w:r>
              <w:rPr>
                <w:rFonts w:hint="eastAsia" w:ascii="仿宋" w:hAnsi="仿宋" w:eastAsia="仿宋" w:cs="宋体"/>
                <w:bCs/>
                <w:sz w:val="22"/>
                <w:szCs w:val="22"/>
                <w:lang w:val="en-US" w:eastAsia="zh-CN"/>
              </w:rPr>
              <w:t xml:space="preserve">  </w:t>
            </w: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p>
          <w:p w14:paraId="31F16FF4">
            <w:pPr>
              <w:pStyle w:val="7"/>
              <w:widowControl w:val="0"/>
              <w:spacing w:line="240" w:lineRule="auto"/>
              <w:jc w:val="center"/>
              <w:rPr>
                <w:rFonts w:hint="eastAsia" w:ascii="仿宋" w:hAnsi="仿宋" w:eastAsia="仿宋" w:cs="宋体"/>
                <w:color w:val="auto"/>
                <w:kern w:val="2"/>
                <w:sz w:val="22"/>
                <w:szCs w:val="22"/>
                <w:u w:val="none"/>
                <w:vertAlign w:val="baseline"/>
                <w:lang w:val="en-US" w:eastAsia="zh-CN" w:bidi="ar"/>
              </w:rPr>
            </w:pPr>
            <w:r>
              <w:rPr>
                <w:rFonts w:hint="eastAsia" w:ascii="仿宋" w:hAnsi="仿宋" w:eastAsia="仿宋"/>
                <w:color w:val="auto"/>
                <w:kern w:val="2"/>
                <w:sz w:val="22"/>
                <w:szCs w:val="22"/>
                <w:u w:val="none"/>
                <w:vertAlign w:val="baseline"/>
                <w:lang w:val="en-US" w:eastAsia="zh-CN" w:bidi="ar"/>
              </w:rPr>
              <w:t>大写</w:t>
            </w: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p>
        </w:tc>
      </w:tr>
      <w:tr w14:paraId="185A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799" w:type="dxa"/>
            <w:vAlign w:val="center"/>
          </w:tcPr>
          <w:p w14:paraId="3E375C40">
            <w:pPr>
              <w:pStyle w:val="7"/>
              <w:widowControl w:val="0"/>
              <w:spacing w:line="240" w:lineRule="auto"/>
              <w:jc w:val="center"/>
              <w:rPr>
                <w:rFonts w:hint="default" w:ascii="仿宋" w:hAnsi="仿宋" w:eastAsia="仿宋"/>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4</w:t>
            </w:r>
          </w:p>
        </w:tc>
        <w:tc>
          <w:tcPr>
            <w:tcW w:w="974" w:type="dxa"/>
            <w:shd w:val="clear" w:color="auto" w:fill="auto"/>
            <w:vAlign w:val="center"/>
          </w:tcPr>
          <w:p w14:paraId="0FF9C2B5">
            <w:pPr>
              <w:pStyle w:val="7"/>
              <w:widowControl w:val="0"/>
              <w:spacing w:line="240" w:lineRule="auto"/>
              <w:jc w:val="center"/>
              <w:rPr>
                <w:rFonts w:hint="eastAsia" w:ascii="仿宋" w:hAnsi="仿宋" w:eastAsia="仿宋" w:cs="宋体"/>
                <w:color w:val="auto"/>
                <w:kern w:val="2"/>
                <w:sz w:val="22"/>
                <w:szCs w:val="22"/>
                <w:vertAlign w:val="baseline"/>
                <w:lang w:val="en-US" w:eastAsia="zh-CN" w:bidi="ar"/>
              </w:rPr>
            </w:pPr>
            <w:r>
              <w:rPr>
                <w:rFonts w:hint="eastAsia" w:ascii="仿宋" w:hAnsi="仿宋" w:eastAsia="仿宋"/>
                <w:color w:val="auto"/>
                <w:kern w:val="2"/>
                <w:sz w:val="22"/>
                <w:szCs w:val="22"/>
                <w:vertAlign w:val="baseline"/>
                <w:lang w:val="en-US" w:eastAsia="zh-CN" w:bidi="ar"/>
              </w:rPr>
              <w:t>小型</w:t>
            </w:r>
          </w:p>
        </w:tc>
        <w:tc>
          <w:tcPr>
            <w:tcW w:w="2253" w:type="dxa"/>
            <w:shd w:val="clear" w:color="auto" w:fill="auto"/>
            <w:vAlign w:val="center"/>
          </w:tcPr>
          <w:p w14:paraId="4297445E">
            <w:pPr>
              <w:pStyle w:val="7"/>
              <w:widowControl w:val="0"/>
              <w:spacing w:line="240" w:lineRule="auto"/>
              <w:jc w:val="center"/>
              <w:rPr>
                <w:rFonts w:hint="eastAsia" w:ascii="仿宋" w:hAnsi="仿宋" w:eastAsia="仿宋" w:cs="宋体"/>
                <w:color w:val="auto"/>
                <w:kern w:val="2"/>
                <w:sz w:val="22"/>
                <w:szCs w:val="22"/>
                <w:vertAlign w:val="baseline"/>
                <w:lang w:val="en-US" w:eastAsia="zh-CN" w:bidi="ar"/>
              </w:rPr>
            </w:pPr>
            <w:r>
              <w:rPr>
                <w:rFonts w:hint="eastAsia" w:ascii="仿宋" w:hAnsi="仿宋" w:eastAsia="仿宋"/>
                <w:color w:val="auto"/>
                <w:kern w:val="2"/>
                <w:sz w:val="22"/>
                <w:szCs w:val="22"/>
                <w:u w:val="single"/>
                <w:vertAlign w:val="baseline"/>
                <w:lang w:val="en-US" w:eastAsia="zh-CN" w:bidi="ar"/>
              </w:rPr>
              <w:t xml:space="preserve">        </w:t>
            </w:r>
            <w:r>
              <w:rPr>
                <w:rFonts w:hint="eastAsia" w:ascii="仿宋" w:hAnsi="仿宋" w:eastAsia="仿宋"/>
                <w:color w:val="auto"/>
                <w:kern w:val="2"/>
                <w:sz w:val="22"/>
                <w:szCs w:val="22"/>
                <w:u w:val="none"/>
                <w:vertAlign w:val="baseline"/>
                <w:lang w:val="en-US" w:eastAsia="zh-CN" w:bidi="ar"/>
              </w:rPr>
              <w:t>元/</w:t>
            </w:r>
            <w:r>
              <w:rPr>
                <w:rFonts w:hint="eastAsia" w:ascii="仿宋" w:hAnsi="仿宋" w:eastAsia="仿宋"/>
                <w:color w:val="auto"/>
                <w:kern w:val="2"/>
                <w:sz w:val="22"/>
                <w:szCs w:val="22"/>
                <w:vertAlign w:val="baseline"/>
                <w:lang w:val="en-US" w:eastAsia="zh-CN" w:bidi="ar"/>
              </w:rPr>
              <w:t>台/月</w:t>
            </w:r>
          </w:p>
        </w:tc>
        <w:tc>
          <w:tcPr>
            <w:tcW w:w="1150" w:type="dxa"/>
            <w:vMerge w:val="continue"/>
            <w:vAlign w:val="center"/>
          </w:tcPr>
          <w:p w14:paraId="2BC9077C">
            <w:pPr>
              <w:pStyle w:val="7"/>
              <w:widowControl w:val="0"/>
              <w:spacing w:line="240" w:lineRule="auto"/>
              <w:jc w:val="center"/>
              <w:rPr>
                <w:rFonts w:hint="eastAsia" w:ascii="仿宋" w:hAnsi="仿宋" w:eastAsia="仿宋"/>
                <w:color w:val="auto"/>
                <w:kern w:val="2"/>
                <w:sz w:val="22"/>
                <w:szCs w:val="22"/>
                <w:vertAlign w:val="baseline"/>
                <w:lang w:bidi="ar"/>
              </w:rPr>
            </w:pPr>
          </w:p>
        </w:tc>
        <w:tc>
          <w:tcPr>
            <w:tcW w:w="3346" w:type="dxa"/>
            <w:vMerge w:val="continue"/>
            <w:vAlign w:val="center"/>
          </w:tcPr>
          <w:p w14:paraId="7ED0104F">
            <w:pPr>
              <w:pStyle w:val="7"/>
              <w:widowControl w:val="0"/>
              <w:spacing w:line="240" w:lineRule="auto"/>
              <w:jc w:val="center"/>
              <w:rPr>
                <w:rFonts w:hint="eastAsia" w:ascii="仿宋" w:hAnsi="仿宋" w:eastAsia="仿宋"/>
                <w:color w:val="auto"/>
                <w:kern w:val="2"/>
                <w:sz w:val="22"/>
                <w:szCs w:val="22"/>
                <w:vertAlign w:val="baseline"/>
                <w:lang w:bidi="ar"/>
              </w:rPr>
            </w:pPr>
          </w:p>
        </w:tc>
      </w:tr>
    </w:tbl>
    <w:p w14:paraId="5919BB64">
      <w:pPr>
        <w:pStyle w:val="7"/>
        <w:spacing w:line="240" w:lineRule="auto"/>
        <w:rPr>
          <w:rFonts w:hint="eastAsia" w:ascii="仿宋" w:hAnsi="仿宋" w:eastAsia="仿宋"/>
          <w:color w:val="auto"/>
          <w:kern w:val="2"/>
          <w:sz w:val="24"/>
          <w:szCs w:val="24"/>
          <w:lang w:bidi="ar"/>
        </w:rPr>
      </w:pPr>
    </w:p>
    <w:p w14:paraId="0CB22158">
      <w:pPr>
        <w:spacing w:line="240" w:lineRule="auto"/>
        <w:rPr>
          <w:rFonts w:hint="eastAsia" w:ascii="仿宋" w:hAnsi="仿宋" w:eastAsia="仿宋" w:cs="宋体"/>
          <w:sz w:val="24"/>
          <w:szCs w:val="24"/>
        </w:rPr>
      </w:pPr>
      <w:r>
        <w:rPr>
          <w:rFonts w:hint="eastAsia" w:ascii="仿宋" w:hAnsi="仿宋" w:eastAsia="仿宋" w:cs="宋体"/>
          <w:sz w:val="24"/>
          <w:szCs w:val="24"/>
        </w:rPr>
        <w:t>备注：1.投标人须按要求填写所有信息，不得随意更改本表格式。</w:t>
      </w:r>
    </w:p>
    <w:p w14:paraId="6DC5C28C">
      <w:pPr>
        <w:spacing w:line="240" w:lineRule="auto"/>
        <w:ind w:left="210" w:leftChars="100" w:firstLine="480" w:firstLineChars="200"/>
        <w:rPr>
          <w:rFonts w:ascii="仿宋" w:hAnsi="仿宋" w:eastAsia="仿宋" w:cs="宋体"/>
          <w:sz w:val="24"/>
          <w:szCs w:val="24"/>
        </w:rPr>
      </w:pPr>
      <w:r>
        <w:rPr>
          <w:rFonts w:hint="eastAsia" w:ascii="仿宋" w:hAnsi="仿宋" w:eastAsia="仿宋" w:cs="宋体"/>
          <w:sz w:val="24"/>
          <w:szCs w:val="24"/>
        </w:rPr>
        <w:t>2.报价中必须包含采购项目清单所有内容以及完成采购物资所需的一齐辅材、售后服务、全</w:t>
      </w:r>
    </w:p>
    <w:p w14:paraId="6F0665B2">
      <w:pPr>
        <w:spacing w:line="240" w:lineRule="auto"/>
        <w:ind w:left="210" w:leftChars="100" w:firstLine="480" w:firstLineChars="200"/>
        <w:rPr>
          <w:rFonts w:ascii="仿宋" w:hAnsi="仿宋" w:eastAsia="仿宋" w:cs="宋体"/>
          <w:sz w:val="24"/>
          <w:szCs w:val="24"/>
        </w:rPr>
      </w:pPr>
      <w:r>
        <w:rPr>
          <w:rFonts w:hint="eastAsia" w:ascii="仿宋" w:hAnsi="仿宋" w:eastAsia="仿宋" w:cs="宋体"/>
          <w:sz w:val="24"/>
          <w:szCs w:val="24"/>
        </w:rPr>
        <w:t>额含税发票、合同实施过程中应预见和不可预见费用等一切费用。所有价格均应以人民币报</w:t>
      </w:r>
    </w:p>
    <w:p w14:paraId="28B5D342">
      <w:pPr>
        <w:spacing w:line="240" w:lineRule="auto"/>
        <w:ind w:left="210" w:leftChars="100" w:firstLine="480" w:firstLineChars="200"/>
        <w:rPr>
          <w:rFonts w:hint="eastAsia" w:ascii="仿宋" w:hAnsi="仿宋" w:eastAsia="仿宋" w:cs="宋体"/>
          <w:sz w:val="24"/>
          <w:szCs w:val="24"/>
        </w:rPr>
      </w:pPr>
      <w:r>
        <w:rPr>
          <w:rFonts w:hint="eastAsia" w:ascii="仿宋" w:hAnsi="仿宋" w:eastAsia="仿宋" w:cs="宋体"/>
          <w:sz w:val="24"/>
          <w:szCs w:val="24"/>
        </w:rPr>
        <w:t>价，金额单位为元。</w:t>
      </w:r>
    </w:p>
    <w:p w14:paraId="62765DD8">
      <w:pPr>
        <w:spacing w:line="240" w:lineRule="auto"/>
        <w:ind w:firstLine="720" w:firstLineChars="300"/>
        <w:rPr>
          <w:rFonts w:hint="eastAsia" w:ascii="仿宋" w:hAnsi="仿宋" w:eastAsia="仿宋" w:cs="宋体"/>
          <w:sz w:val="24"/>
          <w:szCs w:val="24"/>
        </w:rPr>
      </w:pPr>
      <w:r>
        <w:rPr>
          <w:rFonts w:hint="eastAsia" w:ascii="仿宋" w:hAnsi="仿宋" w:eastAsia="仿宋" w:cs="宋体"/>
          <w:sz w:val="24"/>
          <w:szCs w:val="24"/>
        </w:rPr>
        <w:t xml:space="preserve">3.此表是报价文件的必要文件，是报价文件的组成部分。 </w:t>
      </w:r>
    </w:p>
    <w:p w14:paraId="71FB239F">
      <w:pPr>
        <w:spacing w:line="240" w:lineRule="auto"/>
        <w:jc w:val="right"/>
        <w:rPr>
          <w:rFonts w:ascii="仿宋" w:hAnsi="仿宋" w:eastAsia="仿宋" w:cs="宋体"/>
          <w:sz w:val="24"/>
          <w:szCs w:val="24"/>
        </w:rPr>
      </w:pPr>
    </w:p>
    <w:p w14:paraId="1858057E">
      <w:pPr>
        <w:spacing w:line="240" w:lineRule="auto"/>
        <w:jc w:val="right"/>
        <w:rPr>
          <w:rFonts w:hint="eastAsia" w:ascii="仿宋" w:hAnsi="仿宋" w:eastAsia="仿宋" w:cs="宋体"/>
          <w:sz w:val="24"/>
          <w:szCs w:val="24"/>
        </w:rPr>
      </w:pPr>
    </w:p>
    <w:p w14:paraId="72CA58D2">
      <w:pPr>
        <w:adjustRightInd w:val="0"/>
        <w:snapToGrid w:val="0"/>
        <w:spacing w:line="240" w:lineRule="auto"/>
        <w:ind w:firstLine="3120" w:firstLineChars="1300"/>
        <w:jc w:val="both"/>
        <w:rPr>
          <w:rFonts w:hint="eastAsia" w:ascii="仿宋" w:hAnsi="仿宋" w:eastAsia="仿宋" w:cs="宋体"/>
          <w:sz w:val="24"/>
          <w:szCs w:val="24"/>
        </w:rPr>
      </w:pPr>
      <w:r>
        <w:rPr>
          <w:rFonts w:hint="eastAsia" w:ascii="仿宋" w:hAnsi="仿宋" w:eastAsia="仿宋" w:cs="宋体"/>
          <w:sz w:val="24"/>
          <w:szCs w:val="24"/>
        </w:rPr>
        <w:t>报价人法定代表人（或法定代表人授权代表）签字：</w:t>
      </w:r>
    </w:p>
    <w:p w14:paraId="57BE7702">
      <w:pPr>
        <w:adjustRightInd w:val="0"/>
        <w:snapToGrid w:val="0"/>
        <w:spacing w:line="240" w:lineRule="auto"/>
        <w:ind w:firstLine="3120" w:firstLineChars="1300"/>
        <w:jc w:val="both"/>
        <w:rPr>
          <w:rFonts w:hint="eastAsia" w:ascii="仿宋" w:hAnsi="仿宋" w:eastAsia="仿宋" w:cs="宋体"/>
          <w:sz w:val="24"/>
          <w:szCs w:val="24"/>
        </w:rPr>
      </w:pPr>
      <w:r>
        <w:rPr>
          <w:rFonts w:hint="eastAsia" w:ascii="仿宋" w:hAnsi="仿宋" w:eastAsia="仿宋" w:cs="宋体"/>
          <w:sz w:val="24"/>
          <w:szCs w:val="24"/>
        </w:rPr>
        <w:t>报价人名称（盖公章）：</w:t>
      </w:r>
    </w:p>
    <w:p w14:paraId="69764F0B">
      <w:pPr>
        <w:adjustRightInd w:val="0"/>
        <w:snapToGrid w:val="0"/>
        <w:spacing w:line="240" w:lineRule="auto"/>
        <w:ind w:firstLine="3120" w:firstLineChars="1300"/>
        <w:jc w:val="both"/>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联系电话：</w:t>
      </w:r>
    </w:p>
    <w:p w14:paraId="40E87858">
      <w:pPr>
        <w:adjustRightInd w:val="0"/>
        <w:snapToGrid w:val="0"/>
        <w:spacing w:line="240" w:lineRule="auto"/>
        <w:ind w:firstLine="3120" w:firstLineChars="1300"/>
        <w:jc w:val="both"/>
        <w:rPr>
          <w:rFonts w:hint="eastAsia" w:ascii="仿宋" w:hAnsi="仿宋" w:eastAsia="仿宋" w:cs="宋体"/>
          <w:sz w:val="24"/>
          <w:szCs w:val="24"/>
        </w:rPr>
        <w:sectPr>
          <w:footerReference r:id="rId3" w:type="default"/>
          <w:pgSz w:w="11906" w:h="16838"/>
          <w:pgMar w:top="1440" w:right="1800" w:bottom="1440" w:left="1800" w:header="851" w:footer="992" w:gutter="0"/>
          <w:pgNumType w:start="1"/>
          <w:cols w:space="720" w:num="1"/>
          <w:docGrid w:type="linesAndChars" w:linePitch="312" w:charSpace="0"/>
        </w:sectPr>
      </w:pPr>
      <w:r>
        <w:rPr>
          <w:rFonts w:hint="eastAsia" w:ascii="仿宋" w:hAnsi="仿宋" w:eastAsia="仿宋" w:cs="宋体"/>
          <w:sz w:val="24"/>
          <w:szCs w:val="24"/>
        </w:rPr>
        <w:t>日期：   年   月</w:t>
      </w:r>
    </w:p>
    <w:p w14:paraId="085B12C5">
      <w:pPr>
        <w:spacing w:line="240" w:lineRule="auto"/>
        <w:rPr>
          <w:rFonts w:hint="eastAsia" w:asciiTheme="minorEastAsia" w:hAnsiTheme="minorEastAsia" w:eastAsiaTheme="minorEastAsia" w:cstheme="minorEastAsia"/>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DA209">
    <w:pPr>
      <w:pStyle w:val="2"/>
      <w:jc w:val="right"/>
    </w:pPr>
    <w:r>
      <w:fldChar w:fldCharType="begin"/>
    </w:r>
    <w:r>
      <w:instrText xml:space="preserve"> PAGE   \* MERGEFORMAT </w:instrText>
    </w:r>
    <w:r>
      <w:fldChar w:fldCharType="separate"/>
    </w:r>
    <w:r>
      <w:rPr>
        <w:lang w:val="zh-CN"/>
      </w:rPr>
      <w:t>1</w:t>
    </w:r>
    <w:r>
      <w:fldChar w:fldCharType="end"/>
    </w:r>
  </w:p>
  <w:p w14:paraId="701DF37B">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E0595"/>
    <w:rsid w:val="0EEE3314"/>
    <w:rsid w:val="1B7A6A93"/>
    <w:rsid w:val="2FB83A61"/>
    <w:rsid w:val="56CF570E"/>
    <w:rsid w:val="57EE29CA"/>
    <w:rsid w:val="5E8349C9"/>
    <w:rsid w:val="60AF1486"/>
    <w:rsid w:val="60B84635"/>
    <w:rsid w:val="62CF1861"/>
    <w:rsid w:val="693C722D"/>
    <w:rsid w:val="703C4E01"/>
    <w:rsid w:val="73345E2D"/>
    <w:rsid w:val="76F81292"/>
    <w:rsid w:val="7CC30332"/>
    <w:rsid w:val="7D142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sz w:val="18"/>
      <w:szCs w:val="18"/>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0"/>
    <w:pPr>
      <w:autoSpaceDE w:val="0"/>
      <w:autoSpaceDN w:val="0"/>
      <w:adjustRightInd w:val="0"/>
    </w:pPr>
    <w:rPr>
      <w:rFonts w:ascii="宋体" w:hAnsi="Calibri" w:eastAsia="宋体" w:cs="宋体"/>
      <w:color w:val="000000"/>
      <w:sz w:val="24"/>
      <w:szCs w:val="24"/>
      <w:lang w:val="en-US" w:eastAsia="zh-CN" w:bidi="ar-SA"/>
    </w:rPr>
  </w:style>
  <w:style w:type="paragraph" w:customStyle="1" w:styleId="8">
    <w:name w:val="xl25"/>
    <w:basedOn w:val="1"/>
    <w:qFormat/>
    <w:uiPriority w:val="0"/>
    <w:pPr>
      <w:widowControl/>
      <w:pBdr>
        <w:bottom w:val="single" w:color="auto" w:sz="4" w:space="0"/>
        <w:right w:val="single" w:color="auto" w:sz="4" w:space="0"/>
      </w:pBdr>
      <w:spacing w:before="100" w:beforeAutospacing="1" w:after="100" w:afterAutospacing="1" w:line="240" w:lineRule="auto"/>
      <w:jc w:val="center"/>
    </w:pPr>
    <w:rPr>
      <w:rFonts w:ascii="宋体" w:hAnsi="宋体" w:eastAsia="宋体" w:cs="Times New Roman"/>
      <w:kern w:val="0"/>
      <w:sz w:val="21"/>
      <w:szCs w:val="21"/>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1130</Words>
  <Characters>1149</Characters>
  <Lines>0</Lines>
  <Paragraphs>0</Paragraphs>
  <TotalTime>4</TotalTime>
  <ScaleCrop>false</ScaleCrop>
  <LinksUpToDate>false</LinksUpToDate>
  <CharactersWithSpaces>1157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2026-09-08T00:45:00Z</dcterms:created>
  <dc:creator>lidqian</dc:creator>
  <cp:lastModifiedBy>黎德德</cp:lastModifiedBy>
  <dcterms:modified xsi:type="dcterms:W3CDTF">2026-10-12T07:42:42Z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eyJoZGlkIjoiYWFmMDFkMmE1OGI3ZDRmNzdlZmUyMWE1MGE2ODQxNjgiLCJ1c2VySWQiOiI1OTQwMDEyMDQifQ==</vt:lpwstr>
  </property>
  <property fmtid="{D5CDD505-2E9C-101B-9397-08002B2CF9AE}" pid="4" name="ICV">
    <vt:lpwstr>218BE49CFC87425683E1EA8E18D2E103_12</vt:lpwstr>
  </property>
</Properties>
</file>