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67BDA">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广州医科大学附属第三医院电力市场化交易服务采购需求</w:t>
      </w:r>
    </w:p>
    <w:p w14:paraId="019EF474">
      <w:pPr>
        <w:rPr>
          <w:rFonts w:hint="eastAsia" w:ascii="仿宋" w:hAnsi="仿宋" w:eastAsia="仿宋" w:cs="仿宋"/>
          <w:sz w:val="28"/>
          <w:szCs w:val="28"/>
          <w:lang w:val="en-US" w:eastAsia="zh-CN"/>
        </w:rPr>
      </w:pPr>
    </w:p>
    <w:p w14:paraId="3B819650">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一、项目概况</w:t>
      </w:r>
    </w:p>
    <w:p w14:paraId="730569E8">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用电主体： 广州医科大学附属第三医院</w:t>
      </w:r>
    </w:p>
    <w:p w14:paraId="17A299B0">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用电地址： 荔湾院区：广东省广州市荔湾区多宝路63号</w:t>
      </w:r>
    </w:p>
    <w:p w14:paraId="1F533F6D">
      <w:pPr>
        <w:ind w:firstLine="2240" w:firstLineChars="8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黄埔院区：广东省广州市黄埔区长贤路55号</w:t>
      </w:r>
    </w:p>
    <w:p w14:paraId="74EFEEAD">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标的电量：</w:t>
      </w:r>
      <w:r>
        <w:rPr>
          <w:rFonts w:hint="eastAsia" w:ascii="仿宋" w:hAnsi="仿宋" w:eastAsia="仿宋" w:cs="仿宋"/>
          <w:sz w:val="28"/>
          <w:szCs w:val="28"/>
          <w:highlight w:val="yellow"/>
          <w:lang w:val="en-US" w:eastAsia="zh-CN"/>
        </w:rPr>
        <w:t>2027年1月—2027年12月</w:t>
      </w:r>
      <w:r>
        <w:rPr>
          <w:rFonts w:hint="eastAsia" w:ascii="仿宋" w:hAnsi="仿宋" w:eastAsia="仿宋" w:cs="仿宋"/>
          <w:sz w:val="28"/>
          <w:szCs w:val="28"/>
          <w:lang w:val="en-US" w:eastAsia="zh-CN"/>
        </w:rPr>
        <w:t>，总电量需求约</w:t>
      </w:r>
      <w:r>
        <w:rPr>
          <w:rFonts w:hint="eastAsia" w:ascii="仿宋" w:hAnsi="仿宋" w:eastAsia="仿宋" w:cs="仿宋"/>
          <w:sz w:val="28"/>
          <w:szCs w:val="28"/>
          <w:highlight w:val="yellow"/>
          <w:lang w:val="en-US" w:eastAsia="zh-CN"/>
        </w:rPr>
        <w:t>_</w:t>
      </w:r>
      <w:r>
        <w:rPr>
          <w:rFonts w:hint="eastAsia" w:ascii="仿宋" w:hAnsi="仿宋" w:eastAsia="仿宋" w:cs="仿宋"/>
          <w:sz w:val="28"/>
          <w:szCs w:val="28"/>
          <w:highlight w:val="yellow"/>
          <w:u w:val="single"/>
          <w:lang w:val="en-US" w:eastAsia="zh-CN"/>
        </w:rPr>
        <w:t>3200</w:t>
      </w:r>
      <w:r>
        <w:rPr>
          <w:rFonts w:hint="eastAsia" w:ascii="仿宋" w:hAnsi="仿宋" w:eastAsia="仿宋" w:cs="仿宋"/>
          <w:sz w:val="28"/>
          <w:szCs w:val="28"/>
          <w:highlight w:val="yellow"/>
          <w:lang w:val="en-US" w:eastAsia="zh-CN"/>
        </w:rPr>
        <w:t>_</w:t>
      </w:r>
      <w:r>
        <w:rPr>
          <w:rFonts w:hint="eastAsia" w:ascii="仿宋" w:hAnsi="仿宋" w:eastAsia="仿宋" w:cs="仿宋"/>
          <w:sz w:val="28"/>
          <w:szCs w:val="28"/>
          <w:lang w:val="en-US" w:eastAsia="zh-CN"/>
        </w:rPr>
        <w:t>万kWh，最终以实际使用量结算。</w:t>
      </w:r>
    </w:p>
    <w:p w14:paraId="1C2FFB7C">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电压等级：10kV，双回路供电，总容量：荔湾院区14200kVA、黄埔院区7200kVA。</w:t>
      </w:r>
    </w:p>
    <w:p w14:paraId="1AD1F217">
      <w:pPr>
        <w:rPr>
          <w:rFonts w:hint="eastAsia" w:ascii="仿宋" w:hAnsi="仿宋" w:eastAsia="仿宋" w:cs="仿宋"/>
          <w:sz w:val="28"/>
          <w:szCs w:val="28"/>
          <w:lang w:val="en-US" w:eastAsia="zh-CN"/>
        </w:rPr>
      </w:pPr>
    </w:p>
    <w:p w14:paraId="3F6FD0AA">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二、项目需求</w:t>
      </w:r>
    </w:p>
    <w:p w14:paraId="7429022D">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采购内容：对采购人平均电价中的“购电价格”部分市场化确定售电公司提供服务；平均电价中的输配电价、上网环节线损电价、系统运行费单价、调整系数、基金及附加费单价等按原有政策执行。</w:t>
      </w:r>
    </w:p>
    <w:p w14:paraId="2F28FCB3">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合同周期：自合同签订且服务开始之日起，服务期为</w:t>
      </w:r>
      <w:r>
        <w:rPr>
          <w:rFonts w:hint="eastAsia" w:ascii="仿宋" w:hAnsi="仿宋" w:eastAsia="仿宋" w:cs="仿宋"/>
          <w:sz w:val="28"/>
          <w:szCs w:val="28"/>
          <w:highlight w:val="yellow"/>
          <w:lang w:val="en-US" w:eastAsia="zh-CN"/>
        </w:rPr>
        <w:t>1年</w:t>
      </w:r>
      <w:r>
        <w:rPr>
          <w:rFonts w:hint="eastAsia" w:ascii="仿宋" w:hAnsi="仿宋" w:eastAsia="仿宋" w:cs="仿宋"/>
          <w:sz w:val="28"/>
          <w:szCs w:val="28"/>
          <w:lang w:val="en-US" w:eastAsia="zh-CN"/>
        </w:rPr>
        <w:t>。</w:t>
      </w:r>
      <w:bookmarkStart w:id="0" w:name="_GoBack"/>
      <w:bookmarkEnd w:id="0"/>
    </w:p>
    <w:p w14:paraId="2414B7EE">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电能量交易模式：采用固定价格+市场联动+浮动费用模式：</w:t>
      </w:r>
    </w:p>
    <w:p w14:paraId="5CA1456E">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固定价格结算电量比例：实际用电量的90%</w:t>
      </w:r>
    </w:p>
    <w:p w14:paraId="0EF79323">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市场联动价格结算电量比例：实际用电量的10%</w:t>
      </w:r>
    </w:p>
    <w:p w14:paraId="2C29318F">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浮动费用：0元/千瓦时（全电量收取）</w:t>
      </w:r>
    </w:p>
    <w:p w14:paraId="7F122E4E">
      <w:pPr>
        <w:numPr>
          <w:ilvl w:val="0"/>
          <w:numId w:val="0"/>
        </w:num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 价格机制：</w:t>
      </w:r>
    </w:p>
    <w:p w14:paraId="6E555204">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固定价格：以最终成交价参与交易。</w:t>
      </w:r>
    </w:p>
    <w:p w14:paraId="1203BF16">
      <w:pPr>
        <w:ind w:left="280" w:hanging="280" w:hanging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联动价格：联动月度价格，以广东电力交易中心每月发布的月度中长期交易综合价参与交易。</w:t>
      </w:r>
    </w:p>
    <w:p w14:paraId="3A1A2655">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交易手续费及用电偏差由中标人承担。</w:t>
      </w:r>
    </w:p>
    <w:p w14:paraId="75686211">
      <w:pPr>
        <w:ind w:left="280" w:hanging="280" w:hanging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除中标确定的电能量固定价格外，其他各项电费标准按电网公司和交易中心政策执行。</w:t>
      </w:r>
    </w:p>
    <w:p w14:paraId="267CC109">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 未详尽事宜按最新版《广东电力市场售电公司与电力用户零售交易合同（范本）》及广东省能源局、南方监管局相关文件执行。</w:t>
      </w:r>
    </w:p>
    <w:p w14:paraId="00905D4E">
      <w:pPr>
        <w:rPr>
          <w:rFonts w:hint="eastAsia" w:ascii="仿宋" w:hAnsi="仿宋" w:eastAsia="仿宋" w:cs="仿宋"/>
          <w:sz w:val="28"/>
          <w:szCs w:val="28"/>
          <w:lang w:val="en-US" w:eastAsia="zh-CN"/>
        </w:rPr>
      </w:pPr>
    </w:p>
    <w:p w14:paraId="496EEE02">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三、服务内容</w:t>
      </w:r>
    </w:p>
    <w:p w14:paraId="7EEB8B66">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（一）基本服务</w:t>
      </w:r>
    </w:p>
    <w:p w14:paraId="317C8C8A">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提供全周期电力交易服务与用电配套服务，符合国家法规与技术规范。</w:t>
      </w:r>
    </w:p>
    <w:p w14:paraId="5DA458FA">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负责在广东电力交易系统中完成合同申报、确认与结算数据对接。</w:t>
      </w:r>
    </w:p>
    <w:p w14:paraId="14F415C8">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负责每月交易电量申报、交易执行与电费结算工作，月度结算以实际用电量为准。</w:t>
      </w:r>
    </w:p>
    <w:p w14:paraId="34A89410">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协助采购人完成电力交易平台注册、资料准备、系统录入及后续数据填报，确保及时、准确、完整。如因填报错误或延迟导致采购人损失，由中标人承担全部责任。</w:t>
      </w:r>
    </w:p>
    <w:p w14:paraId="16DC179D">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 提供电量电费分析、电力技术咨询、发票协助、电费核对等服务，每月提供结算清单。</w:t>
      </w:r>
    </w:p>
    <w:p w14:paraId="7E7DEB55">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 确保不改变采购人原有用电习惯与供电质量。</w:t>
      </w:r>
    </w:p>
    <w:p w14:paraId="69C824BF">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 承诺购电价不高于南方电网代理购电价格，否则返还差价。</w:t>
      </w:r>
    </w:p>
    <w:p w14:paraId="457B2DA1">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 如因政策调整无法继续履约，双方应在保障采购人利益前提下协商解约。</w:t>
      </w:r>
    </w:p>
    <w:p w14:paraId="32972A81">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（二）增值服务</w:t>
      </w:r>
    </w:p>
    <w:p w14:paraId="74CE03A7">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提供配电设备个性化运维方案，建立设备台账档案，制定智能巡视方案。</w:t>
      </w:r>
    </w:p>
    <w:p w14:paraId="3E40A178">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提供远程配电安全专家咨询服务（日常巡维、缺陷处理、应急方案等）。</w:t>
      </w:r>
    </w:p>
    <w:p w14:paraId="22471D86">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每季度提供不少于1次的现场设备巡视，并出具运维报告与改进建议。</w:t>
      </w:r>
    </w:p>
    <w:p w14:paraId="0FF83CE4">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 每半年提供一次用电数据分析与节能建议报告。</w:t>
      </w:r>
    </w:p>
    <w:p w14:paraId="1598876B">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 每年为采购人提供电气安全与运维培训不少于一次。</w:t>
      </w:r>
    </w:p>
    <w:p w14:paraId="5816AC4B">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 配合采购人完成一篇具有应用价值的专项研究报告或技术分析报告。</w:t>
      </w:r>
    </w:p>
    <w:p w14:paraId="02D3F53E">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 每年提供一次10kv设备年度预防性试验（涵括招标人两院区所有在用10kv设备）并出具相应试验报告。</w:t>
      </w:r>
    </w:p>
    <w:p w14:paraId="015AF03D">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 协助采购人定期完成高压绝缘器具的检验工作。</w:t>
      </w:r>
    </w:p>
    <w:p w14:paraId="785CDA7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（三）团队人员要求</w:t>
      </w:r>
    </w:p>
    <w:p w14:paraId="2A4D52EE">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投标人须组建专项服务团队，至少包括：</w:t>
      </w:r>
    </w:p>
    <w:p w14:paraId="5E765856">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 项目经理1名，具备电力相关职称证书；</w:t>
      </w:r>
    </w:p>
    <w:p w14:paraId="38528C64">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 技术人员3名，分别持有高压电工与低压电工《特种作业操作证》。</w:t>
      </w:r>
    </w:p>
    <w:p w14:paraId="63A7F7AC">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团队需具备快速响应能力，保障电力故障及时处理。</w:t>
      </w:r>
    </w:p>
    <w:p w14:paraId="19ECE4BB">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（四）应急服务</w:t>
      </w:r>
    </w:p>
    <w:p w14:paraId="485472D6">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提供7×24小时服务热线与技术支持。</w:t>
      </w:r>
    </w:p>
    <w:p w14:paraId="3A3D8919">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咨询类问题1小时内响应；配电系统（高压及低压一级范围）故障报修30分钟内响应，2小时内到场。</w:t>
      </w:r>
    </w:p>
    <w:p w14:paraId="2B790600">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制定完善的应急处理方案，包括用电高峰保障、电力调度预案等。</w:t>
      </w:r>
    </w:p>
    <w:p w14:paraId="0701F93C">
      <w:p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 结合医院实际情况编制应急预案，具备突发事件快速处置能力，包括抢修物资材料配给。</w:t>
      </w:r>
    </w:p>
    <w:p w14:paraId="3759C77E">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（五）保障要求</w:t>
      </w:r>
    </w:p>
    <w:p w14:paraId="304A2149">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投标人须制定电力供应保障方案，具备价格风险、信用风险等防控措施。</w:t>
      </w:r>
    </w:p>
    <w:p w14:paraId="4A5ED175">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应具备充足的交易配额，确保采购人用电需求，不得因实际用电量与预估不符追究采购人责任。</w:t>
      </w:r>
    </w:p>
    <w:p w14:paraId="2170A7D9">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通过多元化购电、智能调度等方式，保障电力供应稳定可靠。</w:t>
      </w:r>
    </w:p>
    <w:p w14:paraId="5A003A90">
      <w:pPr>
        <w:numPr>
          <w:ilvl w:val="0"/>
          <w:numId w:val="1"/>
        </w:num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资质要求</w:t>
      </w:r>
    </w:p>
    <w:p w14:paraId="7F557B75">
      <w:pPr>
        <w:numPr>
          <w:ilvl w:val="0"/>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投标人需是已通过广东电力交易中心注册且具备交易资格的售电公司。</w:t>
      </w:r>
    </w:p>
    <w:p w14:paraId="40361478">
      <w:pPr>
        <w:numPr>
          <w:ilvl w:val="0"/>
          <w:numId w:val="0"/>
        </w:numPr>
        <w:rPr>
          <w:rFonts w:hint="eastAsia" w:ascii="仿宋" w:hAnsi="仿宋" w:eastAsia="仿宋" w:cs="仿宋"/>
          <w:sz w:val="28"/>
          <w:szCs w:val="28"/>
          <w:lang w:val="en-US" w:eastAsia="zh-CN"/>
        </w:rPr>
      </w:pPr>
    </w:p>
    <w:p w14:paraId="21DDC56D">
      <w:pPr>
        <w:numPr>
          <w:ilvl w:val="0"/>
          <w:numId w:val="0"/>
        </w:numPr>
        <w:rPr>
          <w:rFonts w:hint="eastAsia" w:ascii="仿宋" w:hAnsi="仿宋" w:eastAsia="仿宋" w:cs="仿宋"/>
          <w:sz w:val="28"/>
          <w:szCs w:val="28"/>
          <w:lang w:val="en-US" w:eastAsia="zh-CN"/>
        </w:rPr>
      </w:pPr>
    </w:p>
    <w:p w14:paraId="3A88FAE5">
      <w:pPr>
        <w:numPr>
          <w:ilvl w:val="0"/>
          <w:numId w:val="0"/>
        </w:numPr>
        <w:wordWrap w:val="0"/>
        <w:jc w:val="righ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总 务 科   </w:t>
      </w:r>
    </w:p>
    <w:p w14:paraId="4CD3CE8A">
      <w:pPr>
        <w:numPr>
          <w:ilvl w:val="0"/>
          <w:numId w:val="0"/>
        </w:numPr>
        <w:jc w:val="righ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2026年9月4日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D34889"/>
    <w:multiLevelType w:val="singleLevel"/>
    <w:tmpl w:val="CFD34889"/>
    <w:lvl w:ilvl="0" w:tentative="0">
      <w:start w:val="3"/>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9C53B0"/>
    <w:rsid w:val="197267B7"/>
    <w:rsid w:val="1F2E0DD9"/>
    <w:rsid w:val="3E0C5761"/>
    <w:rsid w:val="53EF0727"/>
    <w:rsid w:val="54074319"/>
    <w:rsid w:val="56DC1DCA"/>
    <w:rsid w:val="6EA81857"/>
    <w:rsid w:val="708B14EC"/>
    <w:rsid w:val="720E2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1609</Words>
  <Characters>1707</Characters>
  <Lines>0</Lines>
  <Paragraphs>0</Paragraphs>
  <TotalTime>1330</TotalTime>
  <ScaleCrop>false</ScaleCrop>
  <LinksUpToDate>false</LinksUpToDate>
  <CharactersWithSpaces>1764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2026-01-21T06:21:00Z</dcterms:created>
  <dc:creator>lidqian</dc:creator>
  <cp:lastModifiedBy>黎德德</cp:lastModifiedBy>
  <dcterms:modified xsi:type="dcterms:W3CDTF">2026-09-04T08:02:44Z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eyJoZGlkIjoiYjc4M2M3ZjFkMGJlNTBmOGI4MDIwOWQ4YTU3ZTdhMTUiLCJ1c2VySWQiOiI1OTQwMDEyMDQifQ==</vt:lpwstr>
  </property>
  <property fmtid="{D5CDD505-2E9C-101B-9397-08002B2CF9AE}" pid="4" name="ICV">
    <vt:lpwstr>E59681768FE94F9BBDA039EB8F672429_12</vt:lpwstr>
  </property>
</Properties>
</file>