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81C5B">
      <w:pPr>
        <w:pStyle w:val="2"/>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广州医科大学附属第三医院黄埔院区机械车位底部载车板拆除项目</w:t>
      </w:r>
    </w:p>
    <w:p w14:paraId="17336C46">
      <w:pPr>
        <w:pStyle w:val="2"/>
        <w:bidi w:val="0"/>
        <w:jc w:val="center"/>
        <w:rPr>
          <w:rFonts w:hint="default" w:ascii="Times New Roman" w:hAnsi="Times New Roman" w:cs="Times New Roman"/>
          <w:lang w:val="en-US" w:eastAsia="zh-CN"/>
        </w:rPr>
      </w:pPr>
      <w:r>
        <w:rPr>
          <w:rFonts w:hint="default" w:ascii="Times New Roman" w:hAnsi="Times New Roman" w:cs="Times New Roman"/>
          <w:lang w:val="en-US" w:eastAsia="zh-CN"/>
        </w:rPr>
        <w:t>采购需求</w:t>
      </w:r>
    </w:p>
    <w:p w14:paraId="7347C3E5">
      <w:pPr>
        <w:numPr>
          <w:ilvl w:val="0"/>
          <w:numId w:val="1"/>
        </w:numPr>
        <w:rPr>
          <w:rFonts w:hint="default" w:ascii="Times New Roman" w:hAnsi="Times New Roman" w:eastAsia="楷体_GB2312" w:cs="Times New Roman"/>
          <w:b/>
          <w:sz w:val="32"/>
          <w:szCs w:val="32"/>
          <w:lang w:val="en-US" w:eastAsia="zh-CN"/>
        </w:rPr>
      </w:pPr>
      <w:r>
        <w:rPr>
          <w:rFonts w:hint="default" w:ascii="Times New Roman" w:hAnsi="Times New Roman" w:eastAsia="楷体_GB2312" w:cs="Times New Roman"/>
          <w:b/>
          <w:sz w:val="32"/>
          <w:szCs w:val="32"/>
          <w:lang w:val="en-US" w:eastAsia="zh-CN"/>
        </w:rPr>
        <w:t>项目名称：</w:t>
      </w:r>
      <w:r>
        <w:rPr>
          <w:rFonts w:hint="default" w:ascii="Times New Roman" w:hAnsi="Times New Roman" w:eastAsia="楷体_GB2312" w:cs="Times New Roman"/>
          <w:b w:val="0"/>
          <w:bCs/>
          <w:sz w:val="32"/>
          <w:szCs w:val="32"/>
          <w:lang w:val="en-US" w:eastAsia="zh-CN"/>
        </w:rPr>
        <w:t>广州医科大学附属第三医院黄埔院区机械车位底部载车板拆除项目</w:t>
      </w:r>
    </w:p>
    <w:p w14:paraId="248B23B1">
      <w:pPr>
        <w:numPr>
          <w:ilvl w:val="0"/>
          <w:numId w:val="1"/>
        </w:numPr>
        <w:rPr>
          <w:rFonts w:hint="default" w:ascii="Times New Roman" w:hAnsi="Times New Roman" w:eastAsia="楷体_GB2312" w:cs="Times New Roman"/>
          <w:b/>
          <w:sz w:val="32"/>
          <w:szCs w:val="32"/>
          <w:lang w:val="en-US" w:eastAsia="zh-CN"/>
        </w:rPr>
      </w:pPr>
      <w:r>
        <w:rPr>
          <w:rFonts w:hint="default" w:ascii="Times New Roman" w:hAnsi="Times New Roman" w:eastAsia="楷体_GB2312" w:cs="Times New Roman"/>
          <w:b/>
          <w:sz w:val="32"/>
          <w:szCs w:val="32"/>
          <w:lang w:val="en-US" w:eastAsia="zh-CN"/>
        </w:rPr>
        <w:t>采购预算：</w:t>
      </w:r>
      <w:r>
        <w:rPr>
          <w:rFonts w:hint="default" w:ascii="Times New Roman" w:hAnsi="Times New Roman" w:eastAsia="楷体_GB2312" w:cs="Times New Roman"/>
          <w:b w:val="0"/>
          <w:bCs/>
          <w:sz w:val="32"/>
          <w:szCs w:val="32"/>
          <w:lang w:val="en-US" w:eastAsia="zh-CN"/>
        </w:rPr>
        <w:t>人民币 88552.00 元（含税）</w:t>
      </w:r>
    </w:p>
    <w:p w14:paraId="09A5D65E">
      <w:pPr>
        <w:numPr>
          <w:ilvl w:val="0"/>
          <w:numId w:val="1"/>
        </w:numPr>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服务需求</w:t>
      </w:r>
    </w:p>
    <w:p w14:paraId="29148475">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 xml:space="preserve">工作内容：仅拆除机械式停车设备底部前排载车板（载车板）；设备上部钢结构、链条传动系统、电机、电控整体保留，不得拆除、切割、破坏；拆除载车板残值归中标单位，由中标单位按国家相关法规自行处置清运；拆除完成清理全部现场。 </w:t>
      </w:r>
    </w:p>
    <w:p w14:paraId="2E7B8F4B">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 xml:space="preserve">预估工程量：设备底部前排载车板约140个（以进场后现场双方共同清点实际数量为准，本项目为总价包干，数量偏差不调整合同总价）。 </w:t>
      </w:r>
    </w:p>
    <w:p w14:paraId="6ED0ED2B">
      <w:pPr>
        <w:pStyle w:val="5"/>
        <w:widowControl/>
        <w:rPr>
          <w:rFonts w:eastAsia="宋体"/>
          <w:sz w:val="28"/>
        </w:rPr>
      </w:pPr>
      <w:r>
        <w:rPr>
          <w:rFonts w:eastAsia="宋体"/>
          <w:sz w:val="28"/>
        </w:rPr>
        <w:t xml:space="preserve"> </w:t>
      </w:r>
    </w:p>
    <w:p w14:paraId="279180D5">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拟投入本项目的现场作业人员须配备至少 1 名电工、1 名焊工、1 名起重指挥（Q1），分别具备有效的特种作业操作证。人员与证书持有人保持一致，投标文件中提供证书复印件并加盖投标人公章。投标人承诺，项目实施期间特种作业人员持证上岗。</w:t>
      </w:r>
    </w:p>
    <w:p w14:paraId="68B6F86A">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服务承诺：因施工造成人身伤害、设备损坏、建筑损坏，由投标人全额承担赔偿，投标人须具备足额偿付能力；提供近三个月的纳税证明、社保证明资料。</w:t>
      </w:r>
    </w:p>
    <w:p w14:paraId="0A1B461D">
      <w:pPr>
        <w:numPr>
          <w:ilvl w:val="0"/>
          <w:numId w:val="2"/>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投标人须承诺已踏勘现场，充分了解设备现状、地下车库作业环境，投标报价已充分考虑现场风险，除招标人提供图纸与现场实际不一致、甲方变更等非投标人原因外，投标人不得就已预见的现场风险提出索赔。</w:t>
      </w:r>
    </w:p>
    <w:p w14:paraId="0F06F432">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 xml:space="preserve">安全文明施工：中标单位全面承担施工现场全部安全主体责任，包含人员安全、设备安全、医院建筑保护、地下车库防火防坠、扬尘噪声管控；所有作业人员购买人身意外伤害保险，进场提交保险单复印件。施工全过程设置相应硬质围挡、安全警示标识，避免无关人员进入作业区域。 </w:t>
      </w:r>
    </w:p>
    <w:p w14:paraId="2A8BAFD0">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 xml:space="preserve">损坏赔偿承诺：施工过程若对保留的上部钢结构、链条传动部件、钢梁、建筑结构、管线、地坪造成磕碰、切割、焊伤等损坏，中标单位必须无条件修复至原有状态，并承担全部费用；无法修复的按设备原值赔偿采购人。 </w:t>
      </w:r>
    </w:p>
    <w:p w14:paraId="6716FE39">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残值处置规则：拆下来底部载车板废弃物料全部归中标单位处置，由中标单位自行外运、按国家相关法规自行回收处置，处置过程环保及相关安全责任全部由中标人承担；严禁在医院现场进行切割、电焊融化废铁；仅允许拆解拆卸后整体运离院区。</w:t>
      </w:r>
      <w:r>
        <w:rPr>
          <w:rFonts w:hint="eastAsia" w:ascii="Times New Roman" w:hAnsi="Times New Roman" w:eastAsia="仿宋_GB2312" w:cs="Times New Roman"/>
          <w:b w:val="0"/>
          <w:bCs w:val="0"/>
          <w:i w:val="0"/>
          <w:iCs w:val="0"/>
          <w:color w:val="auto"/>
          <w:sz w:val="28"/>
          <w:szCs w:val="28"/>
          <w:lang w:val="en-US" w:eastAsia="zh-CN"/>
        </w:rPr>
        <w:t>（</w:t>
      </w:r>
      <w:r>
        <w:rPr>
          <w:rFonts w:hint="default" w:ascii="Times New Roman" w:hAnsi="Times New Roman" w:eastAsia="仿宋_GB2312" w:cs="Times New Roman"/>
          <w:b w:val="0"/>
          <w:bCs w:val="0"/>
          <w:i w:val="0"/>
          <w:iCs w:val="0"/>
          <w:color w:val="auto"/>
          <w:sz w:val="28"/>
          <w:szCs w:val="28"/>
          <w:lang w:val="en-US" w:eastAsia="zh-CN"/>
        </w:rPr>
        <w:t>采购人不向中标人支付废铁处置费用；中标人报价包含拆除服务、处置收运、税费等项目相关全部费用。</w:t>
      </w:r>
      <w:r>
        <w:rPr>
          <w:rFonts w:hint="eastAsia" w:ascii="Times New Roman" w:hAnsi="Times New Roman" w:eastAsia="仿宋_GB2312" w:cs="Times New Roman"/>
          <w:b w:val="0"/>
          <w:bCs w:val="0"/>
          <w:i w:val="0"/>
          <w:iCs w:val="0"/>
          <w:color w:val="auto"/>
          <w:sz w:val="28"/>
          <w:szCs w:val="28"/>
          <w:lang w:val="en-US" w:eastAsia="zh-CN"/>
        </w:rPr>
        <w:t>）</w:t>
      </w:r>
    </w:p>
    <w:p w14:paraId="23466EC7">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其他商务要求</w:t>
      </w:r>
    </w:p>
    <w:p w14:paraId="1571DCD2">
      <w:pPr>
        <w:numPr>
          <w:ilvl w:val="0"/>
          <w:numId w:val="0"/>
        </w:num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（1）</w:t>
      </w:r>
      <w:r>
        <w:rPr>
          <w:rFonts w:hint="default" w:ascii="Times New Roman" w:hAnsi="Times New Roman" w:eastAsia="仿宋_GB2312" w:cs="Times New Roman"/>
          <w:b w:val="0"/>
          <w:bCs w:val="0"/>
          <w:i w:val="0"/>
          <w:iCs w:val="0"/>
          <w:color w:val="auto"/>
          <w:sz w:val="28"/>
          <w:szCs w:val="28"/>
          <w:lang w:val="en-US" w:eastAsia="zh-CN"/>
        </w:rPr>
        <w:t xml:space="preserve">中标人进场前提交专项施工方案、安全应急预案报采购人审核同意后方可开工。 </w:t>
      </w:r>
    </w:p>
    <w:p w14:paraId="30D61753">
      <w:pPr>
        <w:numPr>
          <w:ilvl w:val="0"/>
          <w:numId w:val="0"/>
        </w:num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（2）</w:t>
      </w:r>
      <w:r>
        <w:rPr>
          <w:rFonts w:hint="default" w:ascii="Times New Roman" w:hAnsi="Times New Roman" w:eastAsia="仿宋_GB2312" w:cs="Times New Roman"/>
          <w:b w:val="0"/>
          <w:bCs w:val="0"/>
          <w:i w:val="0"/>
          <w:iCs w:val="0"/>
          <w:color w:val="auto"/>
          <w:sz w:val="28"/>
          <w:szCs w:val="28"/>
          <w:lang w:val="en-US" w:eastAsia="zh-CN"/>
        </w:rPr>
        <w:t xml:space="preserve">施工服从医院安保、后勤管理，遵守医院院区管理规定；地下车库作业不得影响医院正常通行，服从医院时间调度。 </w:t>
      </w:r>
    </w:p>
    <w:p w14:paraId="02DBE696">
      <w:pPr>
        <w:numPr>
          <w:ilvl w:val="0"/>
          <w:numId w:val="0"/>
        </w:num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（3）</w:t>
      </w:r>
      <w:r>
        <w:rPr>
          <w:rFonts w:hint="default" w:ascii="Times New Roman" w:hAnsi="Times New Roman" w:eastAsia="仿宋_GB2312" w:cs="Times New Roman"/>
          <w:b w:val="0"/>
          <w:bCs w:val="0"/>
          <w:i w:val="0"/>
          <w:iCs w:val="0"/>
          <w:color w:val="auto"/>
          <w:sz w:val="28"/>
          <w:szCs w:val="28"/>
          <w:lang w:val="en-US" w:eastAsia="zh-CN"/>
        </w:rPr>
        <w:t>严禁转包、分包，一经发现立即解除合同，没收履约保证金。</w:t>
      </w:r>
    </w:p>
    <w:p w14:paraId="349E74D6">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工期</w:t>
      </w:r>
      <w:r>
        <w:rPr>
          <w:rFonts w:hint="default" w:ascii="Times New Roman" w:hAnsi="Times New Roman" w:eastAsia="仿宋_GB2312" w:cs="Times New Roman"/>
          <w:b w:val="0"/>
          <w:bCs w:val="0"/>
          <w:i w:val="0"/>
          <w:iCs w:val="0"/>
          <w:color w:val="auto"/>
          <w:sz w:val="28"/>
          <w:szCs w:val="28"/>
          <w:lang w:val="en-US" w:eastAsia="zh-CN"/>
        </w:rPr>
        <w:t xml:space="preserve">： </w:t>
      </w:r>
      <w:r>
        <w:rPr>
          <w:rFonts w:hint="default" w:ascii="Times New Roman" w:hAnsi="Times New Roman" w:eastAsia="仿宋_GB2312" w:cs="Times New Roman"/>
          <w:b w:val="0"/>
          <w:bCs w:val="0"/>
          <w:i w:val="0"/>
          <w:iCs w:val="0"/>
          <w:color w:val="auto"/>
          <w:sz w:val="28"/>
          <w:szCs w:val="28"/>
          <w:u w:val="single"/>
          <w:lang w:val="en-US" w:eastAsia="zh-CN"/>
        </w:rPr>
        <w:t xml:space="preserve"> 自采购人签发进场通知起15 日历天全部完工（含拆除、包扎防护、清运、场地清洁） </w:t>
      </w:r>
      <w:r>
        <w:rPr>
          <w:rFonts w:hint="default" w:ascii="Times New Roman" w:hAnsi="Times New Roman" w:eastAsia="仿宋_GB2312" w:cs="Times New Roman"/>
          <w:b w:val="0"/>
          <w:bCs w:val="0"/>
          <w:i w:val="0"/>
          <w:iCs w:val="0"/>
          <w:color w:val="auto"/>
          <w:sz w:val="28"/>
          <w:szCs w:val="28"/>
          <w:lang w:val="en-US" w:eastAsia="zh-CN"/>
        </w:rPr>
        <w:t>。</w:t>
      </w:r>
    </w:p>
    <w:p w14:paraId="4FAC7809">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服务</w:t>
      </w:r>
      <w:r>
        <w:rPr>
          <w:rFonts w:hint="default" w:ascii="Times New Roman" w:hAnsi="Times New Roman" w:eastAsia="仿宋_GB2312" w:cs="Times New Roman"/>
          <w:b w:val="0"/>
          <w:bCs w:val="0"/>
          <w:i w:val="0"/>
          <w:iCs w:val="0"/>
          <w:color w:val="auto"/>
          <w:sz w:val="28"/>
          <w:szCs w:val="28"/>
          <w:lang w:val="en-US" w:eastAsia="zh-CN"/>
        </w:rPr>
        <w:t>地点：</w:t>
      </w:r>
      <w:r>
        <w:rPr>
          <w:rFonts w:hint="default" w:ascii="Times New Roman" w:hAnsi="Times New Roman" w:eastAsia="仿宋_GB2312" w:cs="Times New Roman"/>
          <w:b w:val="0"/>
          <w:bCs w:val="0"/>
          <w:i w:val="0"/>
          <w:iCs w:val="0"/>
          <w:color w:val="auto"/>
          <w:sz w:val="28"/>
          <w:szCs w:val="28"/>
          <w:u w:val="single"/>
          <w:lang w:val="en-US" w:eastAsia="zh-CN"/>
        </w:rPr>
        <w:t xml:space="preserve"> 广州市黄埔区长贤路55号广州医科大学附属第三医院黄埔院区地下车库      </w:t>
      </w:r>
      <w:r>
        <w:rPr>
          <w:rFonts w:hint="default" w:ascii="Times New Roman" w:hAnsi="Times New Roman" w:eastAsia="仿宋_GB2312" w:cs="Times New Roman"/>
          <w:b w:val="0"/>
          <w:bCs w:val="0"/>
          <w:i w:val="0"/>
          <w:iCs w:val="0"/>
          <w:color w:val="auto"/>
          <w:sz w:val="28"/>
          <w:szCs w:val="28"/>
          <w:lang w:val="en-US" w:eastAsia="zh-CN"/>
        </w:rPr>
        <w:t xml:space="preserve">   。</w:t>
      </w:r>
    </w:p>
    <w:p w14:paraId="785AE1A1">
      <w:pPr>
        <w:numPr>
          <w:ilvl w:val="0"/>
          <w:numId w:val="2"/>
        </w:numPr>
        <w:ind w:leftChars="0"/>
        <w:rPr>
          <w:rFonts w:hint="default" w:ascii="Times New Roman" w:hAnsi="Times New Roman" w:eastAsia="仿宋_GB2312" w:cs="Times New Roman"/>
          <w:b w:val="0"/>
          <w:bCs w:val="0"/>
          <w:i w:val="0"/>
          <w:iCs w:val="0"/>
          <w:color w:val="auto"/>
          <w:sz w:val="28"/>
          <w:szCs w:val="28"/>
          <w:lang w:val="en-US" w:eastAsia="zh-CN"/>
        </w:rPr>
      </w:pPr>
      <w:r>
        <w:rPr>
          <w:rFonts w:hint="default" w:ascii="Times New Roman" w:hAnsi="Times New Roman" w:eastAsia="仿宋_GB2312" w:cs="Times New Roman"/>
          <w:b w:val="0"/>
          <w:bCs w:val="0"/>
          <w:i w:val="0"/>
          <w:iCs w:val="0"/>
          <w:color w:val="auto"/>
          <w:sz w:val="28"/>
          <w:szCs w:val="28"/>
          <w:lang w:val="en-US" w:eastAsia="zh-CN"/>
        </w:rPr>
        <w:t>履约保证金：合同签订后3个工作日内，中标人提交人民币20000.00元（贰万元整）作为履约保证金；款项直接汇入医院银行账户（合同签订同步提供账号资料），项目验收合格（即以</w:t>
      </w:r>
      <w:r>
        <w:rPr>
          <w:rFonts w:hint="eastAsia" w:ascii="Times New Roman" w:hAnsi="Times New Roman" w:eastAsia="仿宋_GB2312" w:cs="Times New Roman"/>
          <w:b w:val="0"/>
          <w:bCs w:val="0"/>
          <w:i w:val="0"/>
          <w:iCs w:val="0"/>
          <w:color w:val="auto"/>
          <w:sz w:val="28"/>
          <w:szCs w:val="28"/>
          <w:lang w:val="en-US" w:eastAsia="zh-CN"/>
        </w:rPr>
        <w:t>下方第五</w:t>
      </w:r>
      <w:bookmarkStart w:id="0" w:name="_GoBack"/>
      <w:bookmarkEnd w:id="0"/>
      <w:r>
        <w:rPr>
          <w:rFonts w:hint="eastAsia" w:ascii="Times New Roman" w:hAnsi="Times New Roman" w:eastAsia="仿宋_GB2312" w:cs="Times New Roman"/>
          <w:b w:val="0"/>
          <w:bCs w:val="0"/>
          <w:i w:val="0"/>
          <w:iCs w:val="0"/>
          <w:color w:val="auto"/>
          <w:sz w:val="28"/>
          <w:szCs w:val="28"/>
          <w:lang w:val="en-US" w:eastAsia="zh-CN"/>
        </w:rPr>
        <w:t>条验收与付款</w:t>
      </w:r>
      <w:r>
        <w:rPr>
          <w:rFonts w:hint="default" w:ascii="Times New Roman" w:hAnsi="Times New Roman" w:eastAsia="仿宋_GB2312" w:cs="Times New Roman"/>
          <w:b w:val="0"/>
          <w:bCs w:val="0"/>
          <w:i w:val="0"/>
          <w:iCs w:val="0"/>
          <w:color w:val="auto"/>
          <w:sz w:val="28"/>
          <w:szCs w:val="28"/>
          <w:lang w:val="en-US" w:eastAsia="zh-CN"/>
        </w:rPr>
        <w:t>--验收复核合格后支付30%合同款，为确认退回履约保证金的节点）无违约无息退还；发生安全事故、设备损坏，采购人有权直接从履约保证金抵扣赔偿金，不足部分继续向中标单位追偿。</w:t>
      </w:r>
    </w:p>
    <w:p w14:paraId="64832650">
      <w:pPr>
        <w:numPr>
          <w:ilvl w:val="0"/>
          <w:numId w:val="1"/>
        </w:numPr>
        <w:ind w:left="0" w:leftChars="0" w:firstLine="0" w:firstLine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bCs/>
          <w:i w:val="0"/>
          <w:iCs w:val="0"/>
          <w:color w:val="auto"/>
          <w:sz w:val="32"/>
          <w:szCs w:val="32"/>
          <w:lang w:val="en-US" w:eastAsia="zh-CN"/>
        </w:rPr>
        <w:t>技术需求（严格对应现场要求，逐条锁定，杜绝漏洞）</w:t>
      </w:r>
    </w:p>
    <w:p w14:paraId="78A57A5D">
      <w:pPr>
        <w:numPr>
          <w:ilvl w:val="0"/>
          <w:numId w:val="3"/>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核心原则：只拆设备底部前排载车板，上部整套设备结构、链条、钢梁保留，不破坏原有设备本体，载车板后期存在回装可能性，严禁破坏性拆除。</w:t>
      </w:r>
    </w:p>
    <w:p w14:paraId="32699FEB">
      <w:pPr>
        <w:numPr>
          <w:ilvl w:val="0"/>
          <w:numId w:val="3"/>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拆除作业范围：仅拆除机械式停车设备底部载车板，该批载车板所附带的电机、开关等装置，需按采购人要求处置；设备上部所有钢结构框架、升降链条、传动机构、钢梁、电机、电控组件全部保留不动，严禁切割、电焊、锤击破坏。</w:t>
      </w:r>
    </w:p>
    <w:p w14:paraId="41230401">
      <w:pPr>
        <w:numPr>
          <w:ilvl w:val="0"/>
          <w:numId w:val="3"/>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拆卸工艺硬性约束 </w:t>
      </w:r>
    </w:p>
    <w:p w14:paraId="52F074B3">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3.1禁止使用电焊切割、氧割、暴力敲砸等破坏性手段拆卸载车板；只能拆卸螺栓紧固件方式拆卸载车板，最大限度保留螺栓、连接件完好，便于后期载车板回装使用。 </w:t>
      </w:r>
    </w:p>
    <w:p w14:paraId="31988E83">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3.2拆卸前切断对应区域设备电源，悬挂 “禁止合闸” 警示牌，做好断电保护。 </w:t>
      </w:r>
    </w:p>
    <w:p w14:paraId="08179B4F">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3.3拆除完成之后，原有外露链条必须使用防水耐磨材料包扎捆扎牢固、固定稳妥，悬挂于原有位置；包扎完成之后链条不得垂落、摆动，不得干涉车库通行，保证未拆除部分设备日常安全，避免人员磕碰。 </w:t>
      </w:r>
    </w:p>
    <w:p w14:paraId="0AC1E5F4">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3.4 拆卸下来的螺丝、紧固件分类收集收纳，统一交由采购人保管（用于后期载车板回装），不得随废铁一起变卖。 </w:t>
      </w:r>
    </w:p>
    <w:p w14:paraId="586692C7">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3.5拆除作业全过程不得扰动、敲击上部保留钢结构及钢梁，不得在钢梁、立柱上焊接、开孔、打磨损伤。</w:t>
      </w:r>
    </w:p>
    <w:p w14:paraId="311480CA">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3.6设备横移、旋转导轨等拆除区域仅做拆除及平整清理工作，地坪漆回补处理。</w:t>
      </w:r>
    </w:p>
    <w:p w14:paraId="075ED71E">
      <w:pPr>
        <w:numPr>
          <w:ilvl w:val="0"/>
          <w:numId w:val="3"/>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拆除后现场处理 </w:t>
      </w:r>
    </w:p>
    <w:p w14:paraId="3E9ACF85">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4.1载车板拆除完成后，现场全部杂物、铁锈、垃圾全部清理干净，地坪清扫；作业产生的垃圾全部外运离场，院内不得遗留任何废料。 </w:t>
      </w:r>
    </w:p>
    <w:p w14:paraId="2BF1F604">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4.2拆除载车板由中标单位装车运离医院，作为废铁自行处置，不得堆放在医院任何区域。</w:t>
      </w:r>
    </w:p>
    <w:p w14:paraId="437E8A77">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4.3施工方案技术要求（投标文件必须包含） 投标人投标文件内提供完整专项施工方案，至少包含： </w:t>
      </w:r>
    </w:p>
    <w:p w14:paraId="134C3612">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①现场安全防护措施、地下车库围挡隔离方案； </w:t>
      </w:r>
    </w:p>
    <w:p w14:paraId="6F86A6B9">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②载车板螺栓拆解工艺（说明如何做到不电焊切割破坏性拆除）； </w:t>
      </w:r>
    </w:p>
    <w:p w14:paraId="728E50DA">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③链条包扎防护具体措施； </w:t>
      </w:r>
    </w:p>
    <w:p w14:paraId="1365F838">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④成品保护方案（保护上部保留设备、钢梁、地坪、管线）；</w:t>
      </w:r>
    </w:p>
    <w:p w14:paraId="1A766E31">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⑤应急处置预案（高空坠落、物体打击、设备磕碰损坏应急处置）；</w:t>
      </w:r>
    </w:p>
    <w:p w14:paraId="62492607">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⑥人员配置清单、特种作业人员证件清单。</w:t>
      </w:r>
    </w:p>
    <w:p w14:paraId="501D6965">
      <w:pPr>
        <w:numPr>
          <w:ilvl w:val="0"/>
          <w:numId w:val="3"/>
        </w:numPr>
        <w:ind w:leftChars="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验收技术标准（验收逐条核对） </w:t>
      </w:r>
    </w:p>
    <w:p w14:paraId="77512965">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（1）所有应拆底部载车板已全部拆除； </w:t>
      </w:r>
    </w:p>
    <w:p w14:paraId="07BC4752">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（2）上部钢结构、链条传动、钢梁无切割、焊痕、撞击损伤； </w:t>
      </w:r>
    </w:p>
    <w:p w14:paraId="258746EC">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（3）链条已经完整包扎捆扎牢固，无下垂晃动，不影响通行； </w:t>
      </w:r>
    </w:p>
    <w:p w14:paraId="56AEBE93">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（4）拆卸螺栓紧固件全部收集移交采购人； </w:t>
      </w:r>
    </w:p>
    <w:p w14:paraId="69E242CE">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（5）现场地坪清扫干净，无废料垃圾，全部废载车板运离院区； </w:t>
      </w:r>
    </w:p>
    <w:p w14:paraId="47A3276F">
      <w:pPr>
        <w:numPr>
          <w:ilvl w:val="0"/>
          <w:numId w:val="0"/>
        </w:num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（6）没有发生对原有设备、建筑的损伤。</w:t>
      </w:r>
    </w:p>
    <w:p w14:paraId="41925B76">
      <w:pPr>
        <w:numPr>
          <w:ilvl w:val="0"/>
          <w:numId w:val="0"/>
        </w:numPr>
        <w:rPr>
          <w:rFonts w:hint="eastAsia" w:ascii="Times New Roman" w:hAnsi="Times New Roman" w:eastAsia="仿宋_GB2312" w:cs="Times New Roman"/>
          <w:b/>
          <w:bCs/>
          <w:i w:val="0"/>
          <w:iCs w:val="0"/>
          <w:color w:val="auto"/>
          <w:sz w:val="32"/>
          <w:szCs w:val="32"/>
          <w:lang w:val="en-US" w:eastAsia="zh-CN"/>
        </w:rPr>
      </w:pPr>
      <w:r>
        <w:rPr>
          <w:rFonts w:hint="eastAsia" w:ascii="Times New Roman" w:hAnsi="Times New Roman" w:eastAsia="仿宋_GB2312" w:cs="Times New Roman"/>
          <w:b w:val="0"/>
          <w:bCs w:val="0"/>
          <w:i w:val="0"/>
          <w:iCs w:val="0"/>
          <w:color w:val="auto"/>
          <w:sz w:val="28"/>
          <w:szCs w:val="28"/>
          <w:lang w:val="en-US" w:eastAsia="zh-CN"/>
        </w:rPr>
        <w:t>备注：若后期采购人需要载车板回装，不在本合同范围，另行协商。</w:t>
      </w:r>
    </w:p>
    <w:p w14:paraId="1DC90189">
      <w:pPr>
        <w:numPr>
          <w:ilvl w:val="0"/>
          <w:numId w:val="1"/>
        </w:numPr>
        <w:ind w:left="0" w:leftChars="0" w:firstLine="0" w:firstLineChars="0"/>
        <w:rPr>
          <w:rFonts w:hint="eastAsia" w:ascii="Times New Roman" w:hAnsi="Times New Roman" w:eastAsia="仿宋_GB2312" w:cs="Times New Roman"/>
          <w:b/>
          <w:bCs/>
          <w:i w:val="0"/>
          <w:iCs w:val="0"/>
          <w:color w:val="auto"/>
          <w:sz w:val="32"/>
          <w:szCs w:val="32"/>
          <w:lang w:val="en-US" w:eastAsia="zh-CN"/>
        </w:rPr>
      </w:pPr>
      <w:r>
        <w:rPr>
          <w:rFonts w:hint="eastAsia" w:ascii="Times New Roman" w:hAnsi="Times New Roman" w:eastAsia="仿宋_GB2312" w:cs="Times New Roman"/>
          <w:b/>
          <w:bCs/>
          <w:i w:val="0"/>
          <w:iCs w:val="0"/>
          <w:color w:val="auto"/>
          <w:sz w:val="32"/>
          <w:szCs w:val="32"/>
          <w:lang w:val="en-US" w:eastAsia="zh-CN"/>
        </w:rPr>
        <w:t>验收与付款</w:t>
      </w:r>
    </w:p>
    <w:p w14:paraId="21D5A7EB">
      <w:p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1、</w:t>
      </w:r>
      <w:r>
        <w:rPr>
          <w:rFonts w:hint="default" w:ascii="Times New Roman" w:hAnsi="Times New Roman" w:eastAsia="仿宋_GB2312" w:cs="Times New Roman"/>
          <w:b w:val="0"/>
          <w:bCs w:val="0"/>
          <w:i w:val="0"/>
          <w:iCs w:val="0"/>
          <w:color w:val="auto"/>
          <w:sz w:val="28"/>
          <w:szCs w:val="28"/>
          <w:lang w:val="en-US" w:eastAsia="zh-CN"/>
        </w:rPr>
        <w:t>履约验收：全部设备底部前排载车拆除完毕、链条包扎防护到位、现场清扫干净后，由采购人后勤保障部组织现场验收，验收不合格限期整改，整改不计入工期顺延。</w:t>
      </w:r>
    </w:p>
    <w:p w14:paraId="7D3C6CFD">
      <w:pPr>
        <w:rPr>
          <w:rFonts w:hint="eastAsia" w:ascii="仿宋_GB2312" w:hAnsi="仿宋_GB2312" w:eastAsia="仿宋_GB2312" w:cs="仿宋_GB2312"/>
          <w:sz w:val="24"/>
        </w:rPr>
      </w:pPr>
      <w:r>
        <w:rPr>
          <w:rFonts w:hint="eastAsia" w:ascii="Times New Roman" w:hAnsi="Times New Roman" w:eastAsia="仿宋_GB2312" w:cs="Times New Roman"/>
          <w:b w:val="0"/>
          <w:bCs w:val="0"/>
          <w:i w:val="0"/>
          <w:iCs w:val="0"/>
          <w:color w:val="auto"/>
          <w:sz w:val="28"/>
          <w:szCs w:val="28"/>
          <w:lang w:val="en-US" w:eastAsia="zh-CN"/>
        </w:rPr>
        <w:t>2、</w:t>
      </w:r>
      <w:r>
        <w:rPr>
          <w:rFonts w:hint="default" w:ascii="Times New Roman" w:hAnsi="Times New Roman" w:eastAsia="仿宋_GB2312" w:cs="Times New Roman"/>
          <w:b w:val="0"/>
          <w:bCs w:val="0"/>
          <w:i w:val="0"/>
          <w:iCs w:val="0"/>
          <w:color w:val="auto"/>
          <w:sz w:val="28"/>
          <w:szCs w:val="28"/>
          <w:lang w:val="en-US" w:eastAsia="zh-CN"/>
        </w:rPr>
        <w:t>付款方式：本项目全部工作完成，验收合格，中标人提交结算申请、合法足额增值税发票，并将有关资料送交采购人。采购人应在接到上述资料30个工作日内审查完毕，若未提出异议，应在审查完毕后30个工作日内支付合同款70%；验收复核合格后</w:t>
      </w:r>
      <w:r>
        <w:rPr>
          <w:rFonts w:hint="eastAsia" w:ascii="Times New Roman" w:hAnsi="Times New Roman" w:eastAsia="仿宋_GB2312" w:cs="Times New Roman"/>
          <w:b w:val="0"/>
          <w:bCs w:val="0"/>
          <w:i w:val="0"/>
          <w:iCs w:val="0"/>
          <w:color w:val="auto"/>
          <w:sz w:val="28"/>
          <w:szCs w:val="28"/>
          <w:lang w:val="en-US" w:eastAsia="zh-CN"/>
        </w:rPr>
        <w:t>支</w:t>
      </w:r>
      <w:r>
        <w:rPr>
          <w:rFonts w:hint="default" w:ascii="Times New Roman" w:hAnsi="Times New Roman" w:eastAsia="仿宋_GB2312" w:cs="Times New Roman"/>
          <w:b w:val="0"/>
          <w:bCs w:val="0"/>
          <w:i w:val="0"/>
          <w:iCs w:val="0"/>
          <w:color w:val="auto"/>
          <w:sz w:val="28"/>
          <w:szCs w:val="28"/>
          <w:lang w:val="en-US" w:eastAsia="zh-CN"/>
        </w:rPr>
        <w:t>付</w:t>
      </w:r>
      <w:r>
        <w:rPr>
          <w:rFonts w:hint="eastAsia" w:ascii="Times New Roman" w:hAnsi="Times New Roman" w:eastAsia="仿宋_GB2312" w:cs="Times New Roman"/>
          <w:b w:val="0"/>
          <w:bCs w:val="0"/>
          <w:i w:val="0"/>
          <w:iCs w:val="0"/>
          <w:color w:val="auto"/>
          <w:sz w:val="28"/>
          <w:szCs w:val="28"/>
          <w:lang w:val="en-US" w:eastAsia="zh-CN"/>
        </w:rPr>
        <w:t>合同款的</w:t>
      </w:r>
      <w:r>
        <w:rPr>
          <w:rFonts w:hint="default" w:ascii="Times New Roman" w:hAnsi="Times New Roman" w:eastAsia="仿宋_GB2312" w:cs="Times New Roman"/>
          <w:b w:val="0"/>
          <w:bCs w:val="0"/>
          <w:i w:val="0"/>
          <w:iCs w:val="0"/>
          <w:color w:val="auto"/>
          <w:sz w:val="28"/>
          <w:szCs w:val="28"/>
          <w:lang w:val="en-US" w:eastAsia="zh-CN"/>
        </w:rPr>
        <w:t>30%（验收复核期不超过30个工作日）。</w:t>
      </w:r>
    </w:p>
    <w:p w14:paraId="69A9122C">
      <w:pPr>
        <w:numPr>
          <w:ilvl w:val="0"/>
          <w:numId w:val="1"/>
        </w:numPr>
        <w:ind w:left="0" w:leftChars="0" w:firstLine="0" w:firstLineChars="0"/>
        <w:rPr>
          <w:rFonts w:hint="default" w:ascii="Times New Roman" w:hAnsi="Times New Roman" w:eastAsia="仿宋_GB2312" w:cs="Times New Roman"/>
          <w:b/>
          <w:bCs/>
          <w:i w:val="0"/>
          <w:iCs w:val="0"/>
          <w:color w:val="auto"/>
          <w:sz w:val="32"/>
          <w:szCs w:val="32"/>
          <w:lang w:val="en-US" w:eastAsia="zh-CN"/>
        </w:rPr>
      </w:pPr>
      <w:r>
        <w:rPr>
          <w:rFonts w:hint="eastAsia" w:ascii="Times New Roman" w:hAnsi="Times New Roman" w:eastAsia="仿宋_GB2312" w:cs="Times New Roman"/>
          <w:b/>
          <w:bCs/>
          <w:i w:val="0"/>
          <w:iCs w:val="0"/>
          <w:color w:val="auto"/>
          <w:sz w:val="32"/>
          <w:szCs w:val="32"/>
          <w:lang w:val="en-US" w:eastAsia="zh-CN"/>
        </w:rPr>
        <w:t>报价文件清单</w:t>
      </w:r>
    </w:p>
    <w:p w14:paraId="6E97347F">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1.有效的营业执照副本、税务登记证副本、组织机构代码证，或新颁发“三证合一”营业执照；</w:t>
      </w:r>
    </w:p>
    <w:p w14:paraId="44DA4AC8">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2.法定代表人证明书及法定代表人授权委托书原件（若投标授权代表为法人，则只需提供法定代表人证明书及法人身份证复印件）；</w:t>
      </w:r>
    </w:p>
    <w:p w14:paraId="42B948EE">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3.法定代表人及供应商授权代表身份证复印件（若投标授权代表为法人，则只需提供法定代表人身份证复印件）；</w:t>
      </w:r>
    </w:p>
    <w:p w14:paraId="5ABD0508">
      <w:p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4.提交有效的《中华人民共和国特种设备生产许可证》（含机械式停车设备安装、修理、改造子项）复印件；</w:t>
      </w:r>
    </w:p>
    <w:p w14:paraId="42D036F0">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5.提供近3年度经第三方审计的财务审计报告（成立不足 3 年提供成立以来财务报告）；</w:t>
      </w:r>
    </w:p>
    <w:p w14:paraId="6CB72FF9">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 xml:space="preserve">6.信用要求：未被信用中国列入失信被执行人、重大税收违法失信主体；未在中国政府采购网列入政府采购严重违法失信记录，提供网页查询截图。 </w:t>
      </w:r>
    </w:p>
    <w:p w14:paraId="58FB10DA">
      <w:pPr>
        <w:rPr>
          <w:rFonts w:hint="default"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7.提供近三个月纳税证明、社保证明。新企业不足 3 个月、依法免税、社保缓缴企业提供对应证明文件即可。</w:t>
      </w:r>
    </w:p>
    <w:p w14:paraId="774A2798">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8.报价表（模板见附件）；</w:t>
      </w:r>
    </w:p>
    <w:p w14:paraId="0FC12566">
      <w:pPr>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9.“采购需求三、服务需求和四、技术需求”中要求的相关材料（格式自拟，每页加盖公章）：①专项施工方案；②安全责任承诺书；③人员证件清单及证书复印件；④踏勘现场承诺函；⑤损坏赔偿承诺函等；</w:t>
      </w:r>
    </w:p>
    <w:p w14:paraId="1F8EC3B7">
      <w:pPr>
        <w:ind w:firstLine="560" w:firstLineChars="200"/>
        <w:rPr>
          <w:rFonts w:hint="eastAsia" w:ascii="Times New Roman" w:hAnsi="Times New Roman" w:eastAsia="仿宋_GB2312" w:cs="Times New Roman"/>
          <w:b w:val="0"/>
          <w:bCs w:val="0"/>
          <w:i w:val="0"/>
          <w:iCs w:val="0"/>
          <w:color w:val="auto"/>
          <w:sz w:val="28"/>
          <w:szCs w:val="28"/>
          <w:lang w:val="en-US" w:eastAsia="zh-CN"/>
        </w:rPr>
      </w:pPr>
      <w:r>
        <w:rPr>
          <w:rFonts w:hint="eastAsia" w:ascii="Times New Roman" w:hAnsi="Times New Roman" w:eastAsia="仿宋_GB2312" w:cs="Times New Roman"/>
          <w:b w:val="0"/>
          <w:bCs w:val="0"/>
          <w:i w:val="0"/>
          <w:iCs w:val="0"/>
          <w:color w:val="auto"/>
          <w:sz w:val="28"/>
          <w:szCs w:val="28"/>
          <w:lang w:val="en-US" w:eastAsia="zh-CN"/>
        </w:rPr>
        <w:t>报价文件装订成一册并装袋密封，封口加盖投标单位印章, 报价文件正本一份，副本二份（交至广州市荔湾区多宝路63号行政楼4楼总务科1。（不接受快递）</w:t>
      </w:r>
    </w:p>
    <w:p w14:paraId="25A59572">
      <w:pPr>
        <w:rPr>
          <w:rFonts w:hint="eastAsia" w:ascii="仿宋_GB2312" w:hAnsi="仿宋_GB2312" w:eastAsia="仿宋_GB2312" w:cs="仿宋_GB2312"/>
          <w:lang w:val="en-US" w:eastAsia="zh-CN"/>
        </w:rPr>
      </w:pPr>
    </w:p>
    <w:p w14:paraId="22E54138">
      <w:pPr>
        <w:rPr>
          <w:rFonts w:hint="eastAsia" w:ascii="仿宋_GB2312" w:hAnsi="仿宋_GB2312" w:eastAsia="仿宋_GB2312" w:cs="仿宋_GB2312"/>
          <w:lang w:val="en-US" w:eastAsia="zh-CN"/>
        </w:rPr>
      </w:pPr>
    </w:p>
    <w:p w14:paraId="7F81BEC3">
      <w:pPr>
        <w:rPr>
          <w:rFonts w:hint="eastAsia" w:ascii="仿宋_GB2312" w:hAnsi="仿宋_GB2312" w:eastAsia="仿宋_GB2312" w:cs="仿宋_GB2312"/>
          <w:lang w:val="en-US" w:eastAsia="zh-CN"/>
        </w:rPr>
      </w:pPr>
    </w:p>
    <w:p w14:paraId="696F6980">
      <w:pPr>
        <w:rPr>
          <w:rFonts w:hint="eastAsia" w:ascii="仿宋_GB2312" w:hAnsi="仿宋_GB2312" w:eastAsia="仿宋_GB2312" w:cs="仿宋_GB2312"/>
          <w:lang w:val="en-US" w:eastAsia="zh-CN"/>
        </w:rPr>
      </w:pPr>
    </w:p>
    <w:p w14:paraId="531D89C3">
      <w:pPr>
        <w:rPr>
          <w:rFonts w:hint="eastAsia" w:ascii="仿宋_GB2312" w:hAnsi="仿宋_GB2312" w:eastAsia="仿宋_GB2312" w:cs="仿宋_GB2312"/>
          <w:lang w:val="en-US" w:eastAsia="zh-CN"/>
        </w:rPr>
      </w:pPr>
    </w:p>
    <w:p w14:paraId="5F4D5A08">
      <w:pPr>
        <w:rPr>
          <w:rFonts w:hint="eastAsia" w:ascii="仿宋_GB2312" w:hAnsi="仿宋_GB2312" w:eastAsia="仿宋_GB2312" w:cs="仿宋_GB2312"/>
          <w:lang w:val="en-US" w:eastAsia="zh-CN"/>
        </w:rPr>
      </w:pPr>
    </w:p>
    <w:p w14:paraId="2F2A495B">
      <w:pPr>
        <w:rPr>
          <w:rFonts w:hint="eastAsia" w:ascii="仿宋_GB2312" w:hAnsi="仿宋_GB2312" w:eastAsia="仿宋_GB2312" w:cs="仿宋_GB2312"/>
          <w:lang w:val="en-US" w:eastAsia="zh-CN"/>
        </w:rPr>
      </w:pPr>
    </w:p>
    <w:p w14:paraId="1818BFD6">
      <w:pPr>
        <w:rPr>
          <w:rFonts w:hint="eastAsia" w:ascii="仿宋_GB2312" w:hAnsi="仿宋_GB2312" w:eastAsia="仿宋_GB2312" w:cs="仿宋_GB2312"/>
          <w:lang w:val="en-US" w:eastAsia="zh-CN"/>
        </w:rPr>
      </w:pPr>
    </w:p>
    <w:p w14:paraId="2CE4FBF2">
      <w:pPr>
        <w:rPr>
          <w:rFonts w:hint="eastAsia" w:ascii="仿宋_GB2312" w:hAnsi="仿宋_GB2312" w:eastAsia="仿宋_GB2312" w:cs="仿宋_GB2312"/>
          <w:lang w:val="en-US" w:eastAsia="zh-CN"/>
        </w:rPr>
      </w:pPr>
    </w:p>
    <w:p w14:paraId="4280882F">
      <w:pPr>
        <w:rPr>
          <w:rFonts w:hint="eastAsia" w:ascii="仿宋_GB2312" w:hAnsi="仿宋_GB2312" w:eastAsia="仿宋_GB2312" w:cs="仿宋_GB2312"/>
          <w:lang w:val="en-US" w:eastAsia="zh-CN"/>
        </w:rPr>
      </w:pPr>
    </w:p>
    <w:p w14:paraId="1FCDD164">
      <w:pPr>
        <w:rPr>
          <w:rFonts w:hint="eastAsia" w:ascii="仿宋_GB2312" w:hAnsi="仿宋_GB2312" w:eastAsia="仿宋_GB2312" w:cs="仿宋_GB2312"/>
          <w:lang w:val="en-US" w:eastAsia="zh-CN"/>
        </w:rPr>
      </w:pPr>
    </w:p>
    <w:p w14:paraId="3F0D588B">
      <w:pPr>
        <w:rPr>
          <w:rFonts w:hint="eastAsia" w:ascii="仿宋_GB2312" w:hAnsi="仿宋_GB2312" w:eastAsia="仿宋_GB2312" w:cs="仿宋_GB2312"/>
          <w:lang w:val="en-US" w:eastAsia="zh-CN"/>
        </w:rPr>
      </w:pPr>
    </w:p>
    <w:p w14:paraId="32200536">
      <w:pPr>
        <w:rPr>
          <w:rFonts w:hint="eastAsia" w:ascii="仿宋_GB2312" w:hAnsi="仿宋_GB2312" w:eastAsia="仿宋_GB2312" w:cs="仿宋_GB2312"/>
          <w:lang w:val="en-US" w:eastAsia="zh-CN"/>
        </w:rPr>
      </w:pPr>
    </w:p>
    <w:p w14:paraId="4014691F">
      <w:pPr>
        <w:rPr>
          <w:rFonts w:hint="eastAsia" w:ascii="仿宋_GB2312" w:hAnsi="仿宋_GB2312" w:eastAsia="仿宋_GB2312" w:cs="仿宋_GB2312"/>
          <w:lang w:val="en-US" w:eastAsia="zh-CN"/>
        </w:rPr>
      </w:pPr>
    </w:p>
    <w:p w14:paraId="051E12AD">
      <w:pPr>
        <w:rPr>
          <w:rFonts w:hint="eastAsia" w:ascii="仿宋_GB2312" w:hAnsi="仿宋_GB2312" w:eastAsia="仿宋_GB2312" w:cs="仿宋_GB2312"/>
          <w:lang w:val="en-US" w:eastAsia="zh-CN"/>
        </w:rPr>
      </w:pPr>
    </w:p>
    <w:p w14:paraId="37EF8855">
      <w:pPr>
        <w:rPr>
          <w:rFonts w:hint="eastAsia" w:ascii="仿宋_GB2312" w:hAnsi="仿宋_GB2312" w:eastAsia="仿宋_GB2312" w:cs="仿宋_GB2312"/>
          <w:lang w:val="en-US" w:eastAsia="zh-CN"/>
        </w:rPr>
      </w:pPr>
    </w:p>
    <w:p w14:paraId="62DC7E01">
      <w:pPr>
        <w:rPr>
          <w:rFonts w:hint="eastAsia" w:ascii="仿宋_GB2312" w:hAnsi="仿宋_GB2312" w:eastAsia="仿宋_GB2312" w:cs="仿宋_GB2312"/>
          <w:lang w:val="en-US" w:eastAsia="zh-CN"/>
        </w:rPr>
      </w:pPr>
    </w:p>
    <w:p w14:paraId="4EF0F8A8">
      <w:pPr>
        <w:rPr>
          <w:rFonts w:hint="eastAsia" w:ascii="仿宋_GB2312" w:hAnsi="仿宋_GB2312" w:eastAsia="仿宋_GB2312" w:cs="仿宋_GB2312"/>
          <w:lang w:val="en-US" w:eastAsia="zh-CN"/>
        </w:rPr>
      </w:pPr>
    </w:p>
    <w:p w14:paraId="7B6B5EB8">
      <w:pP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附件：</w:t>
      </w:r>
    </w:p>
    <w:p w14:paraId="318A003B">
      <w:pPr>
        <w:tabs>
          <w:tab w:val="left" w:pos="489"/>
          <w:tab w:val="center" w:pos="4677"/>
        </w:tabs>
        <w:jc w:val="center"/>
        <w:rPr>
          <w:rFonts w:hint="eastAsia" w:ascii="宋体" w:hAnsi="宋体"/>
          <w:b/>
          <w:bCs/>
          <w:spacing w:val="30"/>
          <w:sz w:val="32"/>
          <w:szCs w:val="32"/>
          <w:u w:val="none"/>
        </w:rPr>
      </w:pPr>
      <w:r>
        <w:rPr>
          <w:rFonts w:hint="eastAsia" w:ascii="宋体" w:hAnsi="宋体" w:eastAsia="宋体" w:cs="宋体"/>
          <w:b/>
          <w:bCs/>
          <w:sz w:val="32"/>
          <w:szCs w:val="32"/>
          <w:u w:val="none"/>
          <w:lang w:val="en-US" w:eastAsia="zh-CN"/>
        </w:rPr>
        <w:t>广州医科大学附属第三医院黄埔院区机械车位底部载车板拆除项目报价表</w:t>
      </w:r>
    </w:p>
    <w:p w14:paraId="50DDFD02">
      <w:pPr>
        <w:tabs>
          <w:tab w:val="left" w:pos="489"/>
          <w:tab w:val="center" w:pos="4677"/>
        </w:tabs>
        <w:jc w:val="center"/>
        <w:rPr>
          <w:rFonts w:hint="eastAsia" w:eastAsia="隶书"/>
          <w:b/>
          <w:spacing w:val="30"/>
          <w:sz w:val="24"/>
        </w:rPr>
      </w:pPr>
    </w:p>
    <w:p w14:paraId="3A75D98E">
      <w:pPr>
        <w:numPr>
          <w:ilvl w:val="0"/>
          <w:numId w:val="4"/>
        </w:numPr>
        <w:rPr>
          <w:rFonts w:hint="eastAsia" w:ascii="楷体_GB2312" w:eastAsia="楷体_GB2312"/>
          <w:sz w:val="24"/>
        </w:rPr>
      </w:pPr>
      <w:r>
        <w:rPr>
          <w:rFonts w:hint="eastAsia" w:ascii="楷体_GB2312" w:eastAsia="楷体_GB2312"/>
          <w:b/>
          <w:sz w:val="24"/>
        </w:rPr>
        <w:t>报价表</w:t>
      </w: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单位：元</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6832"/>
        <w:gridCol w:w="2148"/>
        <w:gridCol w:w="2148"/>
        <w:gridCol w:w="901"/>
        <w:gridCol w:w="1550"/>
      </w:tblGrid>
      <w:tr w14:paraId="70F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8" w:type="pct"/>
            <w:tcBorders>
              <w:bottom w:val="single" w:color="auto" w:sz="4" w:space="0"/>
            </w:tcBorders>
            <w:noWrap w:val="0"/>
            <w:vAlign w:val="center"/>
          </w:tcPr>
          <w:p w14:paraId="3DEE5AA9">
            <w:pPr>
              <w:snapToGrid w:val="0"/>
              <w:rPr>
                <w:rFonts w:hint="eastAsia" w:ascii="楷体_GB2312" w:hAnsi="Times New Roman" w:eastAsia="楷体_GB2312" w:cs="Times New Roman"/>
                <w:sz w:val="24"/>
              </w:rPr>
            </w:pPr>
            <w:r>
              <w:rPr>
                <w:rFonts w:hint="eastAsia" w:ascii="楷体_GB2312" w:hAnsi="Times New Roman" w:eastAsia="楷体_GB2312" w:cs="Times New Roman"/>
                <w:sz w:val="24"/>
              </w:rPr>
              <w:t>序</w:t>
            </w:r>
          </w:p>
        </w:tc>
        <w:tc>
          <w:tcPr>
            <w:tcW w:w="2411" w:type="pct"/>
            <w:tcBorders>
              <w:bottom w:val="single" w:color="auto" w:sz="4" w:space="0"/>
            </w:tcBorders>
            <w:noWrap w:val="0"/>
            <w:vAlign w:val="center"/>
          </w:tcPr>
          <w:p w14:paraId="2DA8156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项目</w:t>
            </w:r>
            <w:r>
              <w:rPr>
                <w:rFonts w:hint="eastAsia" w:ascii="楷体_GB2312" w:hAnsi="Times New Roman" w:eastAsia="楷体_GB2312" w:cs="Times New Roman"/>
                <w:sz w:val="24"/>
              </w:rPr>
              <w:t>名称</w:t>
            </w:r>
          </w:p>
        </w:tc>
        <w:tc>
          <w:tcPr>
            <w:tcW w:w="758" w:type="pct"/>
            <w:tcBorders>
              <w:bottom w:val="single" w:color="auto" w:sz="4" w:space="0"/>
            </w:tcBorders>
            <w:noWrap w:val="0"/>
            <w:vAlign w:val="center"/>
          </w:tcPr>
          <w:p w14:paraId="5E79F5E1">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技术需求</w:t>
            </w:r>
          </w:p>
        </w:tc>
        <w:tc>
          <w:tcPr>
            <w:tcW w:w="758" w:type="pct"/>
            <w:tcBorders>
              <w:bottom w:val="single" w:color="auto" w:sz="4" w:space="0"/>
            </w:tcBorders>
            <w:noWrap w:val="0"/>
            <w:vAlign w:val="center"/>
          </w:tcPr>
          <w:p w14:paraId="45E16B9E">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服务</w:t>
            </w:r>
            <w:r>
              <w:rPr>
                <w:rFonts w:hint="eastAsia" w:ascii="楷体_GB2312" w:hAnsi="Times New Roman" w:eastAsia="楷体_GB2312" w:cs="Times New Roman"/>
                <w:sz w:val="24"/>
                <w:lang w:val="en-US" w:eastAsia="zh-CN"/>
              </w:rPr>
              <w:t>需</w:t>
            </w:r>
            <w:r>
              <w:rPr>
                <w:rFonts w:hint="eastAsia" w:ascii="楷体_GB2312" w:hAnsi="Times New Roman" w:eastAsia="楷体_GB2312" w:cs="Times New Roman"/>
                <w:sz w:val="24"/>
                <w:lang w:eastAsia="zh-CN"/>
              </w:rPr>
              <w:t>求</w:t>
            </w:r>
          </w:p>
        </w:tc>
        <w:tc>
          <w:tcPr>
            <w:tcW w:w="318" w:type="pct"/>
            <w:tcBorders>
              <w:bottom w:val="single" w:color="auto" w:sz="4" w:space="0"/>
            </w:tcBorders>
            <w:noWrap w:val="0"/>
            <w:vAlign w:val="center"/>
          </w:tcPr>
          <w:p w14:paraId="5C21B161">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数量</w:t>
            </w:r>
          </w:p>
        </w:tc>
        <w:tc>
          <w:tcPr>
            <w:tcW w:w="542" w:type="pct"/>
            <w:tcBorders>
              <w:bottom w:val="single" w:color="auto" w:sz="4" w:space="0"/>
            </w:tcBorders>
            <w:noWrap w:val="0"/>
            <w:vAlign w:val="center"/>
          </w:tcPr>
          <w:p w14:paraId="54DCCA3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采购限价</w:t>
            </w:r>
          </w:p>
        </w:tc>
      </w:tr>
      <w:tr w14:paraId="688A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08" w:type="pct"/>
            <w:noWrap w:val="0"/>
            <w:vAlign w:val="center"/>
          </w:tcPr>
          <w:p w14:paraId="1B34CB09">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1</w:t>
            </w:r>
          </w:p>
        </w:tc>
        <w:tc>
          <w:tcPr>
            <w:tcW w:w="2411" w:type="pct"/>
            <w:noWrap w:val="0"/>
            <w:vAlign w:val="center"/>
          </w:tcPr>
          <w:p w14:paraId="5007DDAC">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广州医科大学附属第三医院黄埔院区</w:t>
            </w:r>
          </w:p>
          <w:p w14:paraId="228AC0C0">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机械车位底部载车板拆除项目</w:t>
            </w:r>
          </w:p>
        </w:tc>
        <w:tc>
          <w:tcPr>
            <w:tcW w:w="758" w:type="pct"/>
            <w:noWrap w:val="0"/>
            <w:vAlign w:val="center"/>
          </w:tcPr>
          <w:p w14:paraId="37CEBA5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详见采购需求</w:t>
            </w:r>
          </w:p>
        </w:tc>
        <w:tc>
          <w:tcPr>
            <w:tcW w:w="758" w:type="pct"/>
            <w:noWrap w:val="0"/>
            <w:vAlign w:val="center"/>
          </w:tcPr>
          <w:p w14:paraId="42BBA4B5">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详见采购需求</w:t>
            </w:r>
          </w:p>
        </w:tc>
        <w:tc>
          <w:tcPr>
            <w:tcW w:w="318" w:type="pct"/>
            <w:noWrap w:val="0"/>
            <w:vAlign w:val="center"/>
          </w:tcPr>
          <w:p w14:paraId="42DE9C89">
            <w:pPr>
              <w:snapToGrid w:val="0"/>
              <w:jc w:val="center"/>
              <w:rPr>
                <w:rFonts w:hint="eastAsia" w:ascii="楷体_GB2312" w:hAnsi="Times New Roman" w:eastAsia="楷体_GB2312" w:cs="Times New Roman"/>
                <w:sz w:val="24"/>
              </w:rPr>
            </w:pPr>
            <w:r>
              <w:rPr>
                <w:rFonts w:hint="eastAsia" w:ascii="楷体_GB2312" w:hAnsi="Times New Roman" w:eastAsia="楷体_GB2312" w:cs="Times New Roman"/>
                <w:sz w:val="24"/>
                <w:lang w:val="en-US" w:eastAsia="zh-CN"/>
              </w:rPr>
              <w:t>1项</w:t>
            </w:r>
          </w:p>
        </w:tc>
        <w:tc>
          <w:tcPr>
            <w:tcW w:w="542" w:type="pct"/>
            <w:noWrap w:val="0"/>
            <w:vAlign w:val="center"/>
          </w:tcPr>
          <w:p w14:paraId="1F504CF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 xml:space="preserve"> 88552.00</w:t>
            </w:r>
          </w:p>
        </w:tc>
      </w:tr>
      <w:tr w14:paraId="66A8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6"/>
            <w:noWrap w:val="0"/>
            <w:vAlign w:val="center"/>
          </w:tcPr>
          <w:p w14:paraId="729BD70E">
            <w:pPr>
              <w:snapToGrid w:val="0"/>
              <w:rPr>
                <w:rFonts w:hint="eastAsia" w:ascii="楷体_GB2312" w:eastAsia="楷体_GB2312"/>
                <w:sz w:val="24"/>
                <w:lang w:val="en-US" w:eastAsia="zh-CN"/>
              </w:rPr>
            </w:pPr>
          </w:p>
          <w:p w14:paraId="3A2AE584">
            <w:pPr>
              <w:snapToGrid w:val="0"/>
              <w:rPr>
                <w:rFonts w:hint="default" w:ascii="楷体_GB2312" w:eastAsia="楷体_GB2312"/>
                <w:sz w:val="24"/>
                <w:lang w:val="en-US" w:eastAsia="zh-CN"/>
              </w:rPr>
            </w:pPr>
            <w:r>
              <w:rPr>
                <w:rFonts w:hint="eastAsia" w:ascii="楷体_GB2312" w:eastAsia="楷体_GB2312"/>
                <w:sz w:val="24"/>
                <w:lang w:val="en-US" w:eastAsia="zh-CN"/>
              </w:rPr>
              <w:t>项目总报价</w:t>
            </w:r>
            <w:r>
              <w:rPr>
                <w:rFonts w:hint="eastAsia" w:ascii="楷体_GB2312" w:eastAsia="楷体_GB2312"/>
                <w:sz w:val="24"/>
              </w:rPr>
              <w:t>人民币（大写）：</w:t>
            </w:r>
            <w:r>
              <w:rPr>
                <w:rFonts w:hint="eastAsia" w:ascii="楷体_GB2312" w:eastAsia="楷体_GB2312"/>
                <w:sz w:val="24"/>
                <w:lang w:val="en-US" w:eastAsia="zh-CN"/>
              </w:rPr>
              <w:t xml:space="preserve">                              </w:t>
            </w:r>
            <w:r>
              <w:rPr>
                <w:rFonts w:hint="eastAsia" w:ascii="楷体_GB2312" w:eastAsia="楷体_GB2312"/>
                <w:sz w:val="24"/>
              </w:rPr>
              <w:t>（小写）：</w:t>
            </w:r>
          </w:p>
          <w:p w14:paraId="158F5C21">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其中税费</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元，不含税金额为</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w:t>
            </w:r>
          </w:p>
          <w:p w14:paraId="3A1B3F41">
            <w:pPr>
              <w:snapToGrid w:val="0"/>
              <w:rPr>
                <w:rFonts w:hint="eastAsia" w:ascii="楷体_GB2312" w:hAnsi="Times New Roman" w:eastAsia="楷体_GB2312" w:cs="Times New Roman"/>
                <w:sz w:val="24"/>
                <w:lang w:val="en-US" w:eastAsia="zh-CN"/>
              </w:rPr>
            </w:pPr>
          </w:p>
        </w:tc>
      </w:tr>
    </w:tbl>
    <w:p w14:paraId="23349784">
      <w:pPr>
        <w:numPr>
          <w:ilvl w:val="0"/>
          <w:numId w:val="0"/>
        </w:numPr>
        <w:rPr>
          <w:rFonts w:hint="eastAsia" w:ascii="楷体_GB2312" w:eastAsia="楷体_GB2312"/>
          <w:sz w:val="24"/>
        </w:rPr>
      </w:pPr>
      <w:r>
        <w:rPr>
          <w:rFonts w:hint="eastAsia" w:ascii="楷体_GB2312" w:eastAsia="楷体_GB2312"/>
          <w:sz w:val="24"/>
        </w:rPr>
        <w:t xml:space="preserve">                     </w:t>
      </w:r>
    </w:p>
    <w:p w14:paraId="449B8335">
      <w:pPr>
        <w:rPr>
          <w:rFonts w:hint="eastAsia" w:ascii="楷体_GB2312" w:eastAsia="楷体_GB2312"/>
          <w:b w:val="0"/>
          <w:bCs/>
          <w:sz w:val="24"/>
          <w:lang w:val="en-US" w:eastAsia="zh-CN"/>
        </w:rPr>
      </w:pPr>
      <w:r>
        <w:rPr>
          <w:rFonts w:hint="eastAsia" w:ascii="楷体_GB2312" w:eastAsia="楷体_GB2312"/>
          <w:b w:val="0"/>
          <w:bCs/>
          <w:sz w:val="24"/>
          <w:lang w:val="en-US" w:eastAsia="zh-CN"/>
        </w:rPr>
        <w:t>备注：项目总价包干。报价包含人工、工具、安全防护、清运、废铁处置、文明施工、保险、税金等全部费用，采购人不再支付任何其他费用。</w:t>
      </w:r>
    </w:p>
    <w:p w14:paraId="566FB716">
      <w:pPr>
        <w:rPr>
          <w:rFonts w:hint="eastAsia" w:ascii="楷体_GB2312" w:eastAsia="楷体_GB2312"/>
          <w:b w:val="0"/>
          <w:bCs/>
          <w:sz w:val="24"/>
          <w:lang w:val="en-US" w:eastAsia="zh-CN"/>
        </w:rPr>
      </w:pPr>
    </w:p>
    <w:p w14:paraId="1C70B36D">
      <w:pPr>
        <w:rPr>
          <w:rFonts w:hint="eastAsia" w:ascii="楷体_GB2312" w:eastAsia="楷体_GB2312"/>
          <w:b w:val="0"/>
          <w:bCs/>
          <w:sz w:val="24"/>
          <w:lang w:val="en-US" w:eastAsia="zh-CN"/>
        </w:rPr>
      </w:pPr>
      <w:r>
        <w:rPr>
          <w:rFonts w:hint="eastAsia" w:ascii="楷体_GB2312" w:eastAsia="楷体_GB2312"/>
          <w:b/>
          <w:sz w:val="24"/>
        </w:rPr>
        <w:t>二、</w:t>
      </w:r>
      <w:r>
        <w:rPr>
          <w:rFonts w:hint="eastAsia" w:ascii="楷体_GB2312" w:eastAsia="楷体_GB2312"/>
          <w:b w:val="0"/>
          <w:bCs/>
          <w:sz w:val="24"/>
          <w:lang w:val="en-US" w:eastAsia="zh-CN"/>
        </w:rPr>
        <w:t>工期：</w:t>
      </w:r>
      <w:r>
        <w:rPr>
          <w:rFonts w:hint="eastAsia" w:ascii="楷体_GB2312" w:eastAsia="楷体_GB2312"/>
          <w:b w:val="0"/>
          <w:bCs/>
          <w:sz w:val="24"/>
          <w:u w:val="single"/>
          <w:lang w:val="en-US" w:eastAsia="zh-CN"/>
        </w:rPr>
        <w:t xml:space="preserve">  自采购人签发进场通知起15 日历天全部完工（含拆除、包扎防护、清运、场地清洁） </w:t>
      </w:r>
      <w:r>
        <w:rPr>
          <w:rFonts w:hint="eastAsia" w:ascii="楷体_GB2312" w:eastAsia="楷体_GB2312"/>
          <w:b w:val="0"/>
          <w:bCs/>
          <w:sz w:val="24"/>
          <w:lang w:val="en-US" w:eastAsia="zh-CN"/>
        </w:rPr>
        <w:t>。</w:t>
      </w:r>
    </w:p>
    <w:p w14:paraId="5E1B3387">
      <w:pPr>
        <w:rPr>
          <w:rFonts w:hint="eastAsia" w:ascii="楷体_GB2312" w:eastAsia="楷体_GB2312"/>
          <w:b w:val="0"/>
          <w:bCs/>
          <w:sz w:val="24"/>
          <w:lang w:val="en-US" w:eastAsia="zh-CN"/>
        </w:rPr>
      </w:pPr>
      <w:r>
        <w:rPr>
          <w:rFonts w:hint="eastAsia" w:ascii="楷体_GB2312" w:eastAsia="楷体_GB2312"/>
          <w:b w:val="0"/>
          <w:bCs/>
          <w:sz w:val="24"/>
          <w:lang w:val="en-US" w:eastAsia="zh-CN"/>
        </w:rPr>
        <w:t>服务地点：</w:t>
      </w:r>
      <w:r>
        <w:rPr>
          <w:rFonts w:hint="eastAsia" w:ascii="楷体_GB2312" w:eastAsia="楷体_GB2312"/>
          <w:b w:val="0"/>
          <w:bCs/>
          <w:sz w:val="24"/>
          <w:u w:val="single"/>
          <w:lang w:val="en-US" w:eastAsia="zh-CN"/>
        </w:rPr>
        <w:t xml:space="preserve"> 广州市黄埔区长贤路55号广州医科大学附属第三医院黄埔院区地下车库 </w:t>
      </w:r>
      <w:r>
        <w:rPr>
          <w:rFonts w:hint="eastAsia" w:ascii="楷体_GB2312" w:eastAsia="楷体_GB2312"/>
          <w:b w:val="0"/>
          <w:bCs/>
          <w:sz w:val="24"/>
          <w:lang w:val="en-US" w:eastAsia="zh-CN"/>
        </w:rPr>
        <w:t>。</w:t>
      </w:r>
    </w:p>
    <w:p w14:paraId="2AB871E7">
      <w:pPr>
        <w:rPr>
          <w:rFonts w:hint="eastAsia" w:ascii="楷体_GB2312" w:eastAsia="楷体_GB2312"/>
          <w:sz w:val="24"/>
        </w:rPr>
      </w:pPr>
    </w:p>
    <w:p w14:paraId="7A30AC9A">
      <w:pPr>
        <w:rPr>
          <w:rFonts w:hint="eastAsia" w:ascii="楷体_GB2312" w:eastAsia="楷体_GB2312"/>
          <w:sz w:val="24"/>
        </w:rPr>
      </w:pPr>
    </w:p>
    <w:p w14:paraId="4F370626">
      <w:pPr>
        <w:rPr>
          <w:rFonts w:hint="eastAsia" w:ascii="楷体_GB2312" w:eastAsia="楷体_GB2312"/>
          <w:sz w:val="24"/>
        </w:rPr>
      </w:pPr>
    </w:p>
    <w:p w14:paraId="703FA634">
      <w:pPr>
        <w:rPr>
          <w:rFonts w:hint="eastAsia" w:ascii="楷体_GB2312" w:eastAsia="楷体_GB2312"/>
          <w:sz w:val="24"/>
        </w:rPr>
      </w:pPr>
    </w:p>
    <w:p w14:paraId="3B462B71">
      <w:pPr>
        <w:rPr>
          <w:rFonts w:hint="eastAsia" w:ascii="楷体_GB2312" w:hAnsi="Times New Roman" w:eastAsia="楷体_GB2312" w:cs="Times New Roman"/>
          <w:sz w:val="24"/>
        </w:rPr>
      </w:pPr>
      <w:r>
        <w:rPr>
          <w:rFonts w:hint="eastAsia" w:ascii="楷体_GB2312" w:eastAsia="楷体_GB2312"/>
          <w:sz w:val="24"/>
        </w:rPr>
        <w:t xml:space="preserve">投标人名称（盖章）：            </w:t>
      </w:r>
      <w:r>
        <w:rPr>
          <w:rFonts w:hint="eastAsia" w:ascii="楷体_GB2312" w:eastAsia="楷体_GB2312"/>
          <w:sz w:val="24"/>
          <w:lang w:val="en-US" w:eastAsia="zh-CN"/>
        </w:rPr>
        <w:t xml:space="preserve">                       </w:t>
      </w:r>
      <w:r>
        <w:rPr>
          <w:rFonts w:hint="eastAsia" w:ascii="楷体_GB2312" w:eastAsia="楷体_GB2312"/>
          <w:sz w:val="24"/>
        </w:rPr>
        <w:t xml:space="preserve">             </w:t>
      </w:r>
      <w:r>
        <w:rPr>
          <w:rFonts w:hint="eastAsia" w:ascii="楷体_GB2312" w:hAnsi="Times New Roman" w:eastAsia="楷体_GB2312" w:cs="Times New Roman"/>
          <w:sz w:val="24"/>
          <w:lang w:eastAsia="zh-CN"/>
        </w:rPr>
        <w:t>单位法人或</w:t>
      </w:r>
      <w:r>
        <w:rPr>
          <w:rFonts w:hint="eastAsia" w:ascii="楷体_GB2312" w:hAnsi="Times New Roman" w:eastAsia="楷体_GB2312" w:cs="Times New Roman"/>
          <w:sz w:val="24"/>
        </w:rPr>
        <w:t>授权代表（签字）：</w:t>
      </w:r>
    </w:p>
    <w:p w14:paraId="279949F1">
      <w:pPr>
        <w:rPr>
          <w:rFonts w:hint="eastAsia" w:ascii="楷体_GB2312" w:eastAsia="楷体_GB2312"/>
          <w:sz w:val="24"/>
        </w:rPr>
      </w:pPr>
      <w:r>
        <w:rPr>
          <w:rFonts w:hint="eastAsia" w:ascii="楷体_GB2312" w:eastAsia="楷体_GB2312"/>
          <w:sz w:val="24"/>
        </w:rPr>
        <w:t xml:space="preserve">投标人地址：                          </w:t>
      </w:r>
      <w:r>
        <w:rPr>
          <w:rFonts w:hint="eastAsia" w:ascii="楷体_GB2312" w:eastAsia="楷体_GB2312"/>
          <w:sz w:val="24"/>
          <w:lang w:val="en-US" w:eastAsia="zh-CN"/>
        </w:rPr>
        <w:t xml:space="preserve">                      </w:t>
      </w:r>
      <w:r>
        <w:rPr>
          <w:rFonts w:hint="eastAsia" w:ascii="楷体_GB2312" w:eastAsia="楷体_GB2312"/>
          <w:sz w:val="24"/>
        </w:rPr>
        <w:t xml:space="preserve">       办公电话：</w:t>
      </w:r>
      <w:r>
        <w:rPr>
          <w:rFonts w:hint="eastAsia" w:ascii="楷体_GB2312" w:eastAsia="楷体_GB2312"/>
          <w:sz w:val="24"/>
          <w:lang w:val="en-US" w:eastAsia="zh-CN"/>
        </w:rPr>
        <w:t xml:space="preserve">      </w:t>
      </w:r>
      <w:r>
        <w:rPr>
          <w:rFonts w:hint="eastAsia" w:ascii="楷体_GB2312" w:eastAsia="楷体_GB2312"/>
          <w:sz w:val="24"/>
        </w:rPr>
        <w:t xml:space="preserve">     手机：</w:t>
      </w:r>
    </w:p>
    <w:p w14:paraId="1F2509D8">
      <w:pPr>
        <w:ind w:right="480"/>
        <w:jc w:val="center"/>
        <w:rPr>
          <w:rFonts w:hint="eastAsia" w:ascii="宋体" w:hAnsi="宋体" w:eastAsia="宋体" w:cs="宋体"/>
          <w:b/>
          <w:bCs/>
          <w:i w:val="0"/>
          <w:iCs w:val="0"/>
          <w:sz w:val="32"/>
          <w:szCs w:val="32"/>
          <w:lang w:val="en-US" w:eastAsia="zh-CN" w:bidi="ar-SA"/>
        </w:rPr>
      </w:pP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报价时间：    年   月  日</w:t>
      </w:r>
    </w:p>
    <w:p w14:paraId="0ED3E0ED">
      <w:pPr>
        <w:rPr>
          <w:rFonts w:hint="eastAsia"/>
        </w:rPr>
      </w:pPr>
    </w:p>
    <w:p w14:paraId="66993CAE">
      <w:pPr>
        <w:rPr>
          <w:rFonts w:hint="eastAsia"/>
        </w:rPr>
      </w:pPr>
    </w:p>
    <w:p w14:paraId="03947DDF">
      <w:pPr>
        <w:rPr>
          <w:rFonts w:hint="eastAsia"/>
        </w:rPr>
      </w:pPr>
    </w:p>
    <w:p w14:paraId="42FC9800">
      <w:pPr>
        <w:rPr>
          <w:rFonts w:hint="eastAsia"/>
        </w:rPr>
      </w:pPr>
    </w:p>
    <w:p w14:paraId="3B9D0892">
      <w:pPr>
        <w:rPr>
          <w:rFonts w:hint="eastAsia"/>
        </w:rPr>
      </w:pPr>
    </w:p>
    <w:p w14:paraId="4D73597D">
      <w:pPr>
        <w:rPr>
          <w:rFonts w:hint="eastAsia"/>
        </w:rPr>
      </w:pPr>
    </w:p>
    <w:p w14:paraId="7A383410">
      <w:pPr>
        <w:rPr>
          <w:rFonts w:hint="eastAsia" w:ascii="仿宋_GB2312" w:hAnsi="仿宋_GB2312" w:eastAsia="仿宋_GB2312" w:cs="仿宋_GB231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79785"/>
    <w:multiLevelType w:val="singleLevel"/>
    <w:tmpl w:val="B8C79785"/>
    <w:lvl w:ilvl="0" w:tentative="0">
      <w:start w:val="1"/>
      <w:numFmt w:val="chineseCounting"/>
      <w:suff w:val="nothing"/>
      <w:lvlText w:val="%1、"/>
      <w:lvlJc w:val="left"/>
      <w:rPr>
        <w:rFonts w:hint="eastAsia"/>
      </w:rPr>
    </w:lvl>
  </w:abstractNum>
  <w:abstractNum w:abstractNumId="1">
    <w:nsid w:val="C383074F"/>
    <w:multiLevelType w:val="singleLevel"/>
    <w:tmpl w:val="C383074F"/>
    <w:lvl w:ilvl="0" w:tentative="0">
      <w:start w:val="1"/>
      <w:numFmt w:val="decimal"/>
      <w:suff w:val="nothing"/>
      <w:lvlText w:val="%1、"/>
      <w:lvlJc w:val="left"/>
    </w:lvl>
  </w:abstractNum>
  <w:abstractNum w:abstractNumId="2">
    <w:nsid w:val="135E2755"/>
    <w:multiLevelType w:val="singleLevel"/>
    <w:tmpl w:val="135E2755"/>
    <w:lvl w:ilvl="0" w:tentative="0">
      <w:start w:val="1"/>
      <w:numFmt w:val="decimal"/>
      <w:suff w:val="nothing"/>
      <w:lvlText w:val="%1、"/>
      <w:lvlJc w:val="left"/>
    </w:lvl>
  </w:abstractNum>
  <w:abstractNum w:abstractNumId="3">
    <w:nsid w:val="38A1CD3F"/>
    <w:multiLevelType w:val="singleLevel"/>
    <w:tmpl w:val="38A1CD3F"/>
    <w:lvl w:ilvl="0" w:tentative="0">
      <w:start w:val="1"/>
      <w:numFmt w:val="chineseCounting"/>
      <w:suff w:val="nothing"/>
      <w:lvlText w:val="%1、"/>
      <w:lvlJc w:val="left"/>
      <w:rPr>
        <w:rFonts w:hint="eastAsia"/>
        <w:b/>
        <w:bCs/>
        <w:sz w:val="32"/>
        <w:szCs w:val="32"/>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C5082"/>
    <w:rsid w:val="17DE1F0A"/>
    <w:rsid w:val="2DE735DA"/>
    <w:rsid w:val="3485610B"/>
    <w:rsid w:val="38D61676"/>
    <w:rsid w:val="3AFC5082"/>
    <w:rsid w:val="3DDD4414"/>
    <w:rsid w:val="412D25C9"/>
    <w:rsid w:val="445D4AB6"/>
    <w:rsid w:val="47A16E12"/>
    <w:rsid w:val="4AED2753"/>
    <w:rsid w:val="56A93273"/>
    <w:rsid w:val="58CF1A2F"/>
    <w:rsid w:val="5A9A2941"/>
    <w:rsid w:val="67640620"/>
    <w:rsid w:val="6B0F149F"/>
    <w:rsid w:val="710D040A"/>
    <w:rsid w:val="74C40BE9"/>
    <w:rsid w:val="750C1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qFormat/>
    <w:uiPriority w:val="1"/>
    <w:rPr>
      <w:rFonts w:ascii="宋体" w:hAnsi="宋体" w:eastAsia="宋体" w:cs="宋体"/>
      <w:b/>
      <w:bCs/>
      <w:sz w:val="28"/>
      <w:szCs w:val="2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出段落1"/>
    <w:basedOn w:val="1"/>
    <w:qFormat/>
    <w:uiPriority w:val="0"/>
    <w:pPr>
      <w:ind w:firstLine="420" w:firstLineChars="200"/>
    </w:pPr>
    <w:rPr>
      <w:rFonts w:ascii="Calibri" w:hAnsi="Calibri"/>
      <w:szCs w:val="22"/>
    </w:rPr>
  </w:style>
  <w:style w:type="paragraph" w:customStyle="1" w:styleId="10">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3348</Words>
  <Characters>3414</Characters>
  <Lines>0</Lines>
  <Paragraphs>0</Paragraphs>
  <TotalTime>3</TotalTime>
  <ScaleCrop>false</ScaleCrop>
  <LinksUpToDate>false</LinksUpToDate>
  <CharactersWithSpaces>3812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2026-03-20T01:31:00Z</dcterms:created>
  <dc:creator>asdodo</dc:creator>
  <cp:lastModifiedBy>asdodo</cp:lastModifiedBy>
  <dcterms:modified xsi:type="dcterms:W3CDTF">2026-09-01T01:19:37Z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8C470BDB9ED14240AB9ED718F1FD7D06_13</vt:lpwstr>
  </property>
  <property fmtid="{D5CDD505-2E9C-101B-9397-08002B2CF9AE}" pid="4" name="KSOTemplateDocerSaveRecord">
    <vt:lpwstr>eyJoZGlkIjoiMDY0ODU4OWVlOGViNDVjMDg5ZTYzYzczMDVhZTJmMmIiLCJ1c2VySWQiOiI1NTMzNDUwNDQifQ==</vt:lpwstr>
  </property>
</Properties>
</file>