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FEAB5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项目基本需求</w:t>
      </w:r>
    </w:p>
    <w:p w14:paraId="07A56BE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</w:p>
    <w:p w14:paraId="6EFC25F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一、项目要求</w:t>
      </w:r>
    </w:p>
    <w:p w14:paraId="328CC616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420" w:firstLineChars="0"/>
        <w:textAlignment w:val="baseline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项目名称：广州医科大学附属第三医院两院区污水处理站运行维护服务项目</w:t>
      </w:r>
    </w:p>
    <w:p w14:paraId="0406DF32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420" w:firstLineChars="0"/>
        <w:textAlignment w:val="baseline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项目期限：三年</w:t>
      </w:r>
    </w:p>
    <w:p w14:paraId="18A3A2CF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420" w:firstLineChars="0"/>
        <w:textAlignment w:val="baseline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项目规模：1.荔湾院区</w:t>
      </w:r>
      <w:r>
        <w:rPr>
          <w:rFonts w:ascii="Times New Roman" w:hAnsi="Times New Roman" w:eastAsia="宋体" w:cs="Times New Roman"/>
          <w:sz w:val="28"/>
          <w:szCs w:val="28"/>
        </w:rPr>
        <w:t>污水处理站设计污水处理量为 1200m</w:t>
      </w:r>
      <w:r>
        <w:rPr>
          <w:rFonts w:ascii="Times New Roman" w:hAnsi="Times New Roman" w:eastAsia="宋体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eastAsia="宋体" w:cs="Times New Roman"/>
          <w:sz w:val="28"/>
          <w:szCs w:val="28"/>
        </w:rPr>
        <w:t>/d。设计污水处理站每天 24h 运行。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2.黄埔院区</w:t>
      </w:r>
      <w:r>
        <w:rPr>
          <w:rFonts w:ascii="Times New Roman" w:hAnsi="Times New Roman" w:eastAsia="宋体" w:cs="Times New Roman"/>
          <w:sz w:val="28"/>
          <w:szCs w:val="28"/>
        </w:rPr>
        <w:t>污水处理站设计污水处理量为 1100m</w:t>
      </w:r>
      <w:r>
        <w:rPr>
          <w:rFonts w:ascii="Times New Roman" w:hAnsi="Times New Roman" w:eastAsia="宋体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eastAsia="宋体" w:cs="Times New Roman"/>
          <w:sz w:val="28"/>
          <w:szCs w:val="28"/>
        </w:rPr>
        <w:t>/d。设计污水处理站每天 24h 运行。</w:t>
      </w:r>
    </w:p>
    <w:p w14:paraId="4D3CCB5C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420" w:firstLineChars="0"/>
        <w:textAlignment w:val="baseline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项目要求：</w:t>
      </w:r>
    </w:p>
    <w:p w14:paraId="5FB19B67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560" w:firstLineChars="200"/>
        <w:textAlignment w:val="baseline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负责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两院区</w:t>
      </w:r>
      <w:r>
        <w:rPr>
          <w:rFonts w:ascii="Times New Roman" w:hAnsi="Times New Roman" w:eastAsia="宋体" w:cs="Times New Roman"/>
          <w:sz w:val="28"/>
          <w:szCs w:val="28"/>
        </w:rPr>
        <w:t>污水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处理</w:t>
      </w:r>
      <w:r>
        <w:rPr>
          <w:rFonts w:ascii="Times New Roman" w:hAnsi="Times New Roman" w:eastAsia="宋体" w:cs="Times New Roman"/>
          <w:sz w:val="28"/>
          <w:szCs w:val="28"/>
        </w:rPr>
        <w:t>站环保污染治理设施的操作与管理，保证做好设备设施的维护保养和取水样监测分析工作，同时接受业主管理人员的监督。</w:t>
      </w:r>
    </w:p>
    <w:p w14:paraId="12D091AA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560" w:firstLineChars="200"/>
        <w:textAlignment w:val="baseline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两院区</w:t>
      </w:r>
      <w:r>
        <w:rPr>
          <w:rFonts w:ascii="Times New Roman" w:hAnsi="Times New Roman" w:eastAsia="宋体" w:cs="Times New Roman"/>
          <w:sz w:val="28"/>
          <w:szCs w:val="28"/>
        </w:rPr>
        <w:t>污水处理站污水经处理后，必须达到《医疗机构水污染物排放标准》（GB18466-2005）预处理标准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等相关标准。</w:t>
      </w:r>
    </w:p>
    <w:p w14:paraId="2EEA6DA7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60" w:firstLineChars="200"/>
        <w:textAlignment w:val="baseline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负责两院区污水站处理设施 24 小时的正常运行，负责设施的操作及管理工作和设备日常保养及维护工作</w:t>
      </w:r>
      <w:r>
        <w:rPr>
          <w:rFonts w:hint="default" w:ascii="Times New Roman" w:hAnsi="Times New Roman" w:eastAsia="宋体" w:cs="Times New Roman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含全部污水处理站设备、管道提升泵、实验室预处理设备及数据采集仪等相关设备</w:t>
      </w:r>
      <w:r>
        <w:rPr>
          <w:rFonts w:hint="default" w:ascii="Times New Roman" w:hAnsi="Times New Roman" w:eastAsia="宋体" w:cs="Times New Roman"/>
          <w:sz w:val="28"/>
          <w:szCs w:val="28"/>
          <w:lang w:eastAsia="zh-CN"/>
        </w:rPr>
        <w:t>）</w:t>
      </w:r>
      <w:r>
        <w:rPr>
          <w:rFonts w:ascii="Times New Roman" w:hAnsi="Times New Roman" w:eastAsia="宋体" w:cs="Times New Roman"/>
          <w:sz w:val="28"/>
          <w:szCs w:val="28"/>
        </w:rPr>
        <w:t>，负责提供污水处理站 500 元以内易损易耗件（泵阀密封件、紧固件等）的更换</w:t>
      </w:r>
      <w:bookmarkStart w:id="0" w:name="_GoBack"/>
      <w:bookmarkEnd w:id="0"/>
      <w:r>
        <w:rPr>
          <w:rFonts w:ascii="Times New Roman" w:hAnsi="Times New Roman" w:eastAsia="宋体" w:cs="Times New Roman"/>
          <w:sz w:val="28"/>
          <w:szCs w:val="28"/>
        </w:rPr>
        <w:t>。</w:t>
      </w:r>
    </w:p>
    <w:p w14:paraId="58970041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60" w:firstLineChars="200"/>
        <w:textAlignment w:val="baseline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每天不少于两次检测污水排放口pH值和总余氯。</w:t>
      </w:r>
    </w:p>
    <w:p w14:paraId="560C0920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60" w:firstLineChars="200"/>
        <w:textAlignment w:val="baseline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每周一次对污水排放口采样检测 pH 值、COD、SS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等</w:t>
      </w:r>
      <w:r>
        <w:rPr>
          <w:rFonts w:ascii="Times New Roman" w:hAnsi="Times New Roman" w:eastAsia="宋体" w:cs="Times New Roman"/>
          <w:sz w:val="28"/>
          <w:szCs w:val="28"/>
        </w:rPr>
        <w:t>，检测数据形成检测报告，每月提供检测报告原件给业主。</w:t>
      </w:r>
    </w:p>
    <w:p w14:paraId="051F5A38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60" w:firstLineChars="200"/>
        <w:textAlignment w:val="baseline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每月委托第三方有资质单位对污水排放口进行采样监测，监测次数和污染物应符合排污许可证规定要求，提供有MA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等</w:t>
      </w:r>
      <w:r>
        <w:rPr>
          <w:rFonts w:ascii="Times New Roman" w:hAnsi="Times New Roman" w:eastAsia="宋体" w:cs="Times New Roman"/>
          <w:sz w:val="28"/>
          <w:szCs w:val="28"/>
        </w:rPr>
        <w:t>认证的监测报告给业主。</w:t>
      </w:r>
    </w:p>
    <w:p w14:paraId="53A89702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60" w:firstLineChars="200"/>
        <w:textAlignment w:val="baseline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 xml:space="preserve"> 每季度委托第三方有资质单位对废气排放口进行采样监测，监测次数和污染物应符合排污许可证规定要求，提供有MA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等</w:t>
      </w:r>
      <w:r>
        <w:rPr>
          <w:rFonts w:ascii="Times New Roman" w:hAnsi="Times New Roman" w:eastAsia="宋体" w:cs="Times New Roman"/>
          <w:sz w:val="28"/>
          <w:szCs w:val="28"/>
        </w:rPr>
        <w:t>认证的监测报告给业主。</w:t>
      </w:r>
    </w:p>
    <w:p w14:paraId="4FC06651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60" w:firstLineChars="200"/>
        <w:textAlignment w:val="baseline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保证污水站的正常运行，经处理后的排放要达到现行环境管理部门的要求。根据水质的工艺要求，及时调整污水处理站的操作参数，控制流量，减小污水对污水站的冲击，控制曝气池进、排风量，调节微生物的生长条件，注意生物膜的生长情况，保证生化处理效果。根据水质的工艺要求控制好消毒系统，确保消毒效果，减小设备负荷。</w:t>
      </w:r>
    </w:p>
    <w:p w14:paraId="7C0D007B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60" w:firstLineChars="200"/>
        <w:textAlignment w:val="baseline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负责每月就污水处理站的管理、保养和运行情况向业主提供书面报告，交甲方存档。</w:t>
      </w:r>
    </w:p>
    <w:p w14:paraId="605D2497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60" w:firstLineChars="200"/>
        <w:textAlignment w:val="baseline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负责提供设施运营相关的咨询服务、编制有关环保管理报表，参与协调业主与环保部门的关系。</w:t>
      </w:r>
    </w:p>
    <w:p w14:paraId="33C9C535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60" w:firstLineChars="200"/>
        <w:textAlignment w:val="baseline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ascii="Times New Roman" w:hAnsi="Times New Roman" w:eastAsia="宋体" w:cs="Times New Roman"/>
          <w:sz w:val="28"/>
          <w:szCs w:val="28"/>
          <w:lang w:eastAsia="zh-CN"/>
        </w:rPr>
        <w:t>做好安全管理，健全安全规章制度，安全检查有</w:t>
      </w:r>
      <w:r>
        <w:rPr>
          <w:rFonts w:hint="default" w:ascii="Times New Roman" w:hAnsi="Times New Roman" w:eastAsia="宋体" w:cs="Times New Roman"/>
          <w:sz w:val="28"/>
          <w:szCs w:val="28"/>
          <w:lang w:eastAsia="zh-CN"/>
        </w:rPr>
        <w:t>记录</w:t>
      </w:r>
      <w:r>
        <w:rPr>
          <w:rFonts w:ascii="Times New Roman" w:hAnsi="Times New Roman" w:eastAsia="宋体" w:cs="Times New Roman"/>
          <w:sz w:val="28"/>
          <w:szCs w:val="28"/>
          <w:lang w:eastAsia="zh-CN"/>
        </w:rPr>
        <w:t>，发现安全隐患及时解决。</w:t>
      </w:r>
    </w:p>
    <w:p w14:paraId="05C62809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60" w:firstLineChars="200"/>
        <w:textAlignment w:val="baseline"/>
        <w:rPr>
          <w:rFonts w:ascii="Times New Roman" w:hAnsi="Times New Roman" w:eastAsia="宋体" w:cs="Times New Roman"/>
          <w:sz w:val="28"/>
          <w:szCs w:val="28"/>
          <w:lang w:eastAsia="zh-CN"/>
        </w:rPr>
      </w:pPr>
      <w:r>
        <w:rPr>
          <w:rFonts w:ascii="Times New Roman" w:hAnsi="Times New Roman" w:eastAsia="宋体" w:cs="Times New Roman"/>
          <w:sz w:val="28"/>
          <w:szCs w:val="28"/>
          <w:lang w:eastAsia="zh-CN"/>
        </w:rPr>
        <w:t>严格按照污水处理管理程序每天认真组织投放定量药物，确保污水处理合格率 100%。若因中标人管理不当，造成污水排放指标不达标，导致环境监测部门处罚、媒体曝光等对采购人造成影响，由此引起的一切经济损失及其他连带责任，由中标人负责，其他原因引起的处罚双方协商解决。</w:t>
      </w:r>
    </w:p>
    <w:p w14:paraId="4CB25644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60" w:firstLineChars="200"/>
        <w:textAlignment w:val="baseline"/>
        <w:rPr>
          <w:rFonts w:ascii="Times New Roman" w:hAnsi="Times New Roman" w:eastAsia="宋体" w:cs="Times New Roman"/>
          <w:sz w:val="28"/>
          <w:szCs w:val="28"/>
          <w:lang w:eastAsia="zh-CN"/>
        </w:rPr>
      </w:pPr>
      <w:r>
        <w:rPr>
          <w:rFonts w:ascii="Times New Roman" w:hAnsi="Times New Roman" w:eastAsia="宋体" w:cs="Times New Roman"/>
          <w:sz w:val="28"/>
          <w:szCs w:val="28"/>
          <w:lang w:eastAsia="zh-CN"/>
        </w:rPr>
        <w:t>保证出水排放符合国家标准和环保要求，保障污水处理设备运行正常，保持污水站周围环境卫生清洁。</w:t>
      </w:r>
    </w:p>
    <w:p w14:paraId="4173DE69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60" w:firstLineChars="200"/>
        <w:textAlignment w:val="baseline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  <w:lang w:eastAsia="zh-CN"/>
        </w:rPr>
        <w:t>人员配置：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）</w:t>
      </w:r>
      <w:r>
        <w:rPr>
          <w:rFonts w:ascii="Times New Roman" w:hAnsi="Times New Roman" w:eastAsia="宋体" w:cs="Times New Roman"/>
          <w:sz w:val="28"/>
          <w:szCs w:val="28"/>
        </w:rPr>
        <w:t>项目</w:t>
      </w:r>
      <w:r>
        <w:rPr>
          <w:rFonts w:ascii="Times New Roman" w:hAnsi="Times New Roman" w:eastAsia="宋体" w:cs="Times New Roman"/>
          <w:sz w:val="28"/>
          <w:szCs w:val="28"/>
        </w:rPr>
        <w:t>负责人 1 名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。（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每个院区</w:t>
      </w:r>
      <w:r>
        <w:rPr>
          <w:rFonts w:ascii="Times New Roman" w:hAnsi="Times New Roman" w:eastAsia="宋体" w:cs="Times New Roman"/>
          <w:sz w:val="28"/>
          <w:szCs w:val="28"/>
        </w:rPr>
        <w:t>技术维修工不少于 1 名，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每个院区</w:t>
      </w:r>
      <w:r>
        <w:rPr>
          <w:rFonts w:ascii="Times New Roman" w:hAnsi="Times New Roman" w:eastAsia="宋体" w:cs="Times New Roman"/>
          <w:sz w:val="28"/>
          <w:szCs w:val="28"/>
        </w:rPr>
        <w:t>驻场运营操作工至少 1名，驻场时间为周一至周六 8:00--18:00，非驻场时间，乙方接到甲方电话，需 3 小时内赶到现场进行处理。（污水站 24 小时不间断运行）。</w:t>
      </w:r>
    </w:p>
    <w:p w14:paraId="53F49A35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60" w:firstLineChars="200"/>
        <w:textAlignment w:val="baseline"/>
        <w:rPr>
          <w:rFonts w:ascii="Times New Roman" w:hAnsi="Times New Roman" w:eastAsia="宋体" w:cs="Times New Roman"/>
          <w:sz w:val="28"/>
          <w:szCs w:val="28"/>
          <w:lang w:eastAsia="zh-CN"/>
        </w:rPr>
      </w:pPr>
      <w:r>
        <w:rPr>
          <w:rFonts w:ascii="Times New Roman" w:hAnsi="Times New Roman" w:eastAsia="宋体" w:cs="Times New Roman"/>
          <w:sz w:val="28"/>
          <w:szCs w:val="28"/>
          <w:lang w:eastAsia="zh-CN"/>
        </w:rPr>
        <w:t xml:space="preserve">维修保养期间发生无法修复、需更换的零配件的情况时 </w:t>
      </w:r>
      <w:r>
        <w:rPr>
          <w:rFonts w:hint="default" w:ascii="Times New Roman" w:hAnsi="Times New Roman" w:eastAsia="宋体" w:cs="Times New Roman"/>
          <w:sz w:val="28"/>
          <w:szCs w:val="28"/>
          <w:lang w:eastAsia="zh-CN"/>
        </w:rPr>
        <w:t>（</w:t>
      </w:r>
      <w:r>
        <w:rPr>
          <w:rFonts w:ascii="Times New Roman" w:hAnsi="Times New Roman" w:eastAsia="宋体" w:cs="Times New Roman"/>
          <w:sz w:val="28"/>
          <w:szCs w:val="28"/>
          <w:lang w:eastAsia="zh-CN"/>
        </w:rPr>
        <w:t>此零配件为功能不可再分拆的个体</w:t>
      </w:r>
      <w:r>
        <w:rPr>
          <w:rFonts w:hint="default" w:ascii="Times New Roman" w:hAnsi="Times New Roman" w:eastAsia="宋体" w:cs="Times New Roman"/>
          <w:sz w:val="28"/>
          <w:szCs w:val="28"/>
          <w:lang w:eastAsia="zh-CN"/>
        </w:rPr>
        <w:t>）</w:t>
      </w:r>
      <w:r>
        <w:rPr>
          <w:rFonts w:ascii="Times New Roman" w:hAnsi="Times New Roman" w:eastAsia="宋体" w:cs="Times New Roman"/>
          <w:sz w:val="28"/>
          <w:szCs w:val="28"/>
          <w:lang w:eastAsia="zh-CN"/>
        </w:rPr>
        <w:t>，单价等于或小于 500 元（以市场报价界定）的零配件更换调试由中标人承担费用。大于 500 元的零配件</w:t>
      </w:r>
      <w:r>
        <w:rPr>
          <w:rFonts w:hint="default" w:ascii="Times New Roman" w:hAnsi="Times New Roman" w:eastAsia="宋体" w:cs="Times New Roman"/>
          <w:sz w:val="28"/>
          <w:szCs w:val="28"/>
          <w:lang w:eastAsia="zh-CN"/>
        </w:rPr>
        <w:t>（</w:t>
      </w:r>
      <w:r>
        <w:rPr>
          <w:rFonts w:ascii="Times New Roman" w:hAnsi="Times New Roman" w:eastAsia="宋体" w:cs="Times New Roman"/>
          <w:sz w:val="28"/>
          <w:szCs w:val="28"/>
          <w:lang w:eastAsia="zh-CN"/>
        </w:rPr>
        <w:t>零配件为功能不可再分拆的个体</w:t>
      </w:r>
      <w:r>
        <w:rPr>
          <w:rFonts w:hint="default" w:ascii="Times New Roman" w:hAnsi="Times New Roman" w:eastAsia="宋体" w:cs="Times New Roman"/>
          <w:sz w:val="28"/>
          <w:szCs w:val="28"/>
          <w:lang w:eastAsia="zh-CN"/>
        </w:rPr>
        <w:t>）</w:t>
      </w:r>
      <w:r>
        <w:rPr>
          <w:rFonts w:ascii="Times New Roman" w:hAnsi="Times New Roman" w:eastAsia="宋体" w:cs="Times New Roman"/>
          <w:sz w:val="28"/>
          <w:szCs w:val="28"/>
          <w:lang w:eastAsia="zh-CN"/>
        </w:rPr>
        <w:t>的更换，采购费用由采购人负责，中标人应负责免费安装调试。</w:t>
      </w:r>
    </w:p>
    <w:p w14:paraId="6A0A7D04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60" w:firstLineChars="200"/>
        <w:textAlignment w:val="baseline"/>
        <w:rPr>
          <w:rFonts w:ascii="Times New Roman" w:hAnsi="Times New Roman" w:eastAsia="宋体" w:cs="Times New Roman"/>
          <w:sz w:val="28"/>
          <w:szCs w:val="28"/>
          <w:lang w:eastAsia="zh-CN"/>
        </w:rPr>
      </w:pPr>
      <w:r>
        <w:rPr>
          <w:rFonts w:ascii="Times New Roman" w:hAnsi="Times New Roman" w:eastAsia="宋体" w:cs="Times New Roman"/>
          <w:sz w:val="28"/>
          <w:szCs w:val="28"/>
          <w:lang w:eastAsia="zh-CN"/>
        </w:rPr>
        <w:t>中标人须每月按时向采购人提交运营记录表、化验记录表等资料；</w:t>
      </w:r>
    </w:p>
    <w:p w14:paraId="26412D6E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60" w:firstLineChars="200"/>
        <w:textAlignment w:val="baseline"/>
        <w:rPr>
          <w:rFonts w:ascii="Times New Roman" w:hAnsi="Times New Roman" w:eastAsia="宋体" w:cs="Times New Roman"/>
          <w:sz w:val="28"/>
          <w:szCs w:val="28"/>
          <w:lang w:eastAsia="zh-CN"/>
        </w:rPr>
      </w:pPr>
      <w:r>
        <w:rPr>
          <w:rFonts w:ascii="Times New Roman" w:hAnsi="Times New Roman" w:eastAsia="宋体" w:cs="Times New Roman"/>
          <w:sz w:val="28"/>
          <w:szCs w:val="28"/>
          <w:lang w:eastAsia="zh-CN"/>
        </w:rPr>
        <w:t>为保障运营管理人员的人身安全及意外保险，应按社会劳动保险的有关规定，为员工购买养老、工伤、医疗、失业等保险。</w:t>
      </w:r>
    </w:p>
    <w:p w14:paraId="3BF5D165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560" w:firstLineChars="200"/>
        <w:textAlignment w:val="baseline"/>
        <w:rPr>
          <w:rFonts w:ascii="Times New Roman" w:hAnsi="Times New Roman" w:eastAsia="宋体" w:cs="Times New Roman"/>
          <w:sz w:val="28"/>
          <w:szCs w:val="28"/>
          <w:lang w:eastAsia="zh-CN"/>
        </w:rPr>
      </w:pPr>
      <w:r>
        <w:rPr>
          <w:rFonts w:ascii="Times New Roman" w:hAnsi="Times New Roman" w:eastAsia="宋体" w:cs="Times New Roman"/>
          <w:sz w:val="28"/>
          <w:szCs w:val="28"/>
          <w:lang w:eastAsia="zh-CN"/>
        </w:rPr>
        <w:t>从事本项目运营管理人员日常作业时，应配置安全作业的工具和使用劳动保护产品。</w:t>
      </w:r>
    </w:p>
    <w:p w14:paraId="23E59E4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rFonts w:hint="eastAsia" w:eastAsia="宋体"/>
          <w:sz w:val="28"/>
          <w:szCs w:val="28"/>
          <w:lang w:eastAsia="zh-CN"/>
        </w:rPr>
      </w:pPr>
      <w:r>
        <w:rPr>
          <w:rFonts w:ascii="Times New Roman" w:hAnsi="Times New Roman" w:eastAsia="宋体" w:cs="Times New Roman"/>
          <w:sz w:val="28"/>
          <w:szCs w:val="28"/>
          <w:lang w:eastAsia="zh-CN"/>
        </w:rPr>
        <w:t>中标人接管污水处理站后，必须严格执行《中华人民共和国环境保护法》及地方有关法律法规、标准， 遵守现行颁布的环境管理规章制度及有关政策，务必做好安全生产，杜绝消防隐患。</w:t>
      </w:r>
    </w:p>
    <w:p w14:paraId="77C40B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rFonts w:hint="eastAsia" w:eastAsia="宋体"/>
          <w:sz w:val="28"/>
          <w:szCs w:val="28"/>
          <w:lang w:eastAsia="zh-CN"/>
        </w:rPr>
      </w:pPr>
    </w:p>
    <w:p w14:paraId="354FEFF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rFonts w:hint="eastAsia" w:eastAsia="宋体"/>
          <w:sz w:val="28"/>
          <w:szCs w:val="28"/>
          <w:lang w:eastAsia="zh-CN"/>
        </w:rPr>
      </w:pPr>
    </w:p>
    <w:p w14:paraId="36DCB44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rFonts w:hint="eastAsia" w:eastAsia="宋体"/>
          <w:sz w:val="28"/>
          <w:szCs w:val="28"/>
          <w:lang w:eastAsia="zh-CN"/>
        </w:rPr>
      </w:pPr>
    </w:p>
    <w:p w14:paraId="1533D57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rFonts w:hint="eastAsia" w:eastAsia="宋体"/>
          <w:sz w:val="28"/>
          <w:szCs w:val="28"/>
          <w:lang w:eastAsia="zh-CN"/>
        </w:rPr>
      </w:pPr>
    </w:p>
    <w:p w14:paraId="2E7710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rFonts w:hint="eastAsia" w:eastAsia="宋体"/>
          <w:sz w:val="28"/>
          <w:szCs w:val="28"/>
          <w:lang w:eastAsia="zh-CN"/>
        </w:rPr>
      </w:pPr>
    </w:p>
    <w:p w14:paraId="587FF9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rFonts w:hint="eastAsia" w:eastAsia="宋体"/>
          <w:sz w:val="28"/>
          <w:szCs w:val="28"/>
          <w:lang w:eastAsia="zh-CN"/>
        </w:rPr>
      </w:pPr>
    </w:p>
    <w:p w14:paraId="17F7A1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rFonts w:hint="eastAsia" w:eastAsia="宋体"/>
          <w:sz w:val="28"/>
          <w:szCs w:val="28"/>
          <w:lang w:eastAsia="zh-CN"/>
        </w:rPr>
      </w:pPr>
    </w:p>
    <w:p w14:paraId="07BDD11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rFonts w:hint="eastAsia" w:eastAsia="宋体"/>
          <w:sz w:val="28"/>
          <w:szCs w:val="28"/>
          <w:lang w:eastAsia="zh-CN"/>
        </w:rPr>
      </w:pPr>
    </w:p>
    <w:p w14:paraId="0B03A38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rFonts w:hint="eastAsia" w:eastAsia="宋体"/>
          <w:sz w:val="28"/>
          <w:szCs w:val="28"/>
          <w:lang w:eastAsia="zh-CN"/>
        </w:rPr>
      </w:pPr>
    </w:p>
    <w:p w14:paraId="2092185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rFonts w:hint="eastAsia" w:eastAsia="宋体"/>
          <w:sz w:val="28"/>
          <w:szCs w:val="28"/>
          <w:lang w:eastAsia="zh-CN"/>
        </w:rPr>
      </w:pPr>
    </w:p>
    <w:p w14:paraId="7E727A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rFonts w:hint="eastAsia" w:eastAsia="宋体"/>
          <w:sz w:val="28"/>
          <w:szCs w:val="28"/>
          <w:lang w:eastAsia="zh-CN"/>
        </w:rPr>
      </w:pPr>
    </w:p>
    <w:p w14:paraId="40303C83">
      <w:pPr>
        <w:rPr>
          <w:rFonts w:hint="eastAsia" w:ascii="Times New Roman" w:hAnsi="Times New Roman" w:eastAsia="黑体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pacing w:val="0"/>
          <w:sz w:val="28"/>
          <w:szCs w:val="28"/>
          <w:lang w:eastAsia="zh-CN"/>
        </w:rPr>
        <w:t>二、</w:t>
      </w:r>
      <w:r>
        <w:rPr>
          <w:rFonts w:hint="eastAsia" w:ascii="Times New Roman" w:hAnsi="Times New Roman" w:eastAsia="黑体" w:cs="Times New Roman"/>
          <w:b w:val="0"/>
          <w:bCs w:val="0"/>
          <w:spacing w:val="0"/>
          <w:sz w:val="28"/>
          <w:szCs w:val="28"/>
          <w:lang w:eastAsia="zh-CN"/>
        </w:rPr>
        <w:t>工艺流程（</w:t>
      </w:r>
      <w:r>
        <w:rPr>
          <w:rFonts w:hint="eastAsia" w:ascii="Times New Roman" w:hAnsi="Times New Roman" w:eastAsia="黑体" w:cs="Times New Roman"/>
          <w:b w:val="0"/>
          <w:bCs w:val="0"/>
          <w:spacing w:val="0"/>
          <w:sz w:val="28"/>
          <w:szCs w:val="28"/>
          <w:lang w:val="en-US" w:eastAsia="zh-CN"/>
        </w:rPr>
        <w:t>以现场实际为准</w:t>
      </w:r>
      <w:r>
        <w:rPr>
          <w:rFonts w:hint="eastAsia" w:ascii="Times New Roman" w:hAnsi="Times New Roman" w:eastAsia="黑体" w:cs="Times New Roman"/>
          <w:b w:val="0"/>
          <w:bCs w:val="0"/>
          <w:spacing w:val="0"/>
          <w:sz w:val="28"/>
          <w:szCs w:val="28"/>
          <w:lang w:eastAsia="zh-CN"/>
        </w:rPr>
        <w:t>）</w:t>
      </w:r>
    </w:p>
    <w:p w14:paraId="2E112AA2">
      <w:pPr>
        <w:pStyle w:val="2"/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420"/>
        <w:textAlignment w:val="baseline"/>
        <w:rPr>
          <w:sz w:val="28"/>
          <w:szCs w:val="28"/>
        </w:rPr>
      </w:pPr>
      <w:r>
        <w:rPr>
          <w:rFonts w:hint="eastAsia"/>
          <w:spacing w:val="-1"/>
          <w:sz w:val="28"/>
          <w:szCs w:val="28"/>
          <w:lang w:val="en-US" w:eastAsia="zh-CN"/>
        </w:rPr>
        <w:t>荔湾院区</w:t>
      </w:r>
      <w:r>
        <w:rPr>
          <w:spacing w:val="-1"/>
          <w:sz w:val="28"/>
          <w:szCs w:val="28"/>
        </w:rPr>
        <w:t>污水处理站工艺流程</w:t>
      </w:r>
    </w:p>
    <w:p w14:paraId="0647829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sz w:val="28"/>
          <w:szCs w:val="28"/>
        </w:rPr>
      </w:pPr>
      <w:r>
        <w:rPr>
          <w:position w:val="-187"/>
          <w:sz w:val="28"/>
          <w:szCs w:val="28"/>
        </w:rPr>
        <w:drawing>
          <wp:inline distT="0" distB="0" distL="0" distR="0">
            <wp:extent cx="5228590" cy="5944870"/>
            <wp:effectExtent l="0" t="0" r="10160" b="1778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28844" cy="5945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4FD0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sz w:val="28"/>
          <w:szCs w:val="28"/>
        </w:rPr>
        <w:sectPr>
          <w:headerReference r:id="rId5" w:type="default"/>
          <w:footerReference r:id="rId6" w:type="default"/>
          <w:pgSz w:w="11906" w:h="16838"/>
          <w:pgMar w:top="1440" w:right="1800" w:bottom="1440" w:left="1800" w:header="0" w:footer="1009" w:gutter="0"/>
          <w:cols w:space="720" w:num="1"/>
        </w:sectPr>
      </w:pPr>
    </w:p>
    <w:p w14:paraId="1A413967">
      <w:pPr>
        <w:pStyle w:val="2"/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420"/>
        <w:textAlignment w:val="baseline"/>
        <w:rPr>
          <w:spacing w:val="-1"/>
          <w:sz w:val="28"/>
          <w:szCs w:val="28"/>
        </w:rPr>
      </w:pPr>
      <w:r>
        <w:rPr>
          <w:rFonts w:hint="default"/>
          <w:spacing w:val="-1"/>
          <w:sz w:val="28"/>
          <w:szCs w:val="28"/>
          <w:lang w:val="en-US" w:eastAsia="zh-CN"/>
        </w:rPr>
        <w:t>黄埔院区</w:t>
      </w:r>
      <w:r>
        <w:rPr>
          <w:spacing w:val="-1"/>
          <w:sz w:val="28"/>
          <w:szCs w:val="28"/>
        </w:rPr>
        <w:t>污水处理站工艺流程</w:t>
      </w:r>
    </w:p>
    <w:p w14:paraId="652B04F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sz w:val="28"/>
          <w:szCs w:val="28"/>
        </w:rPr>
      </w:pPr>
      <w:r>
        <w:rPr>
          <w:position w:val="-119"/>
          <w:sz w:val="28"/>
          <w:szCs w:val="28"/>
        </w:rPr>
        <w:drawing>
          <wp:inline distT="0" distB="0" distL="0" distR="0">
            <wp:extent cx="7659370" cy="5170805"/>
            <wp:effectExtent l="0" t="0" r="10795" b="1778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59370" cy="517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F927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outlineLvl w:val="0"/>
        <w:rPr>
          <w:b/>
          <w:bCs/>
          <w:spacing w:val="-4"/>
          <w:sz w:val="28"/>
          <w:szCs w:val="28"/>
        </w:rPr>
      </w:pPr>
    </w:p>
    <w:p w14:paraId="181D079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outlineLvl w:val="0"/>
        <w:rPr>
          <w:b/>
          <w:bCs/>
          <w:spacing w:val="-4"/>
          <w:sz w:val="28"/>
          <w:szCs w:val="28"/>
        </w:rPr>
      </w:pPr>
    </w:p>
    <w:p w14:paraId="6D9C406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outlineLvl w:val="0"/>
        <w:rPr>
          <w:sz w:val="28"/>
          <w:szCs w:val="28"/>
        </w:rPr>
      </w:pPr>
      <w:r>
        <w:rPr>
          <w:rFonts w:hint="eastAsia"/>
          <w:b/>
          <w:bCs/>
          <w:spacing w:val="-4"/>
          <w:sz w:val="28"/>
          <w:szCs w:val="28"/>
          <w:lang w:val="en-US" w:eastAsia="zh-CN"/>
        </w:rPr>
        <w:t>三</w:t>
      </w:r>
      <w:r>
        <w:rPr>
          <w:b/>
          <w:bCs/>
          <w:spacing w:val="-4"/>
          <w:sz w:val="28"/>
          <w:szCs w:val="28"/>
        </w:rPr>
        <w:t>、项目方案及报价</w:t>
      </w:r>
    </w:p>
    <w:p w14:paraId="2C61AB6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>（一）污水处理站</w:t>
      </w:r>
      <w:r>
        <w:rPr>
          <w:rFonts w:hint="eastAsia"/>
          <w:b/>
          <w:bCs/>
          <w:spacing w:val="-6"/>
          <w:sz w:val="28"/>
          <w:szCs w:val="28"/>
          <w:lang w:val="en-US" w:eastAsia="zh-CN"/>
        </w:rPr>
        <w:t>运行维护</w:t>
      </w:r>
      <w:r>
        <w:rPr>
          <w:b/>
          <w:bCs/>
          <w:spacing w:val="-6"/>
          <w:sz w:val="28"/>
          <w:szCs w:val="28"/>
        </w:rPr>
        <w:t>方案（格式自定</w:t>
      </w:r>
      <w:r>
        <w:rPr>
          <w:b/>
          <w:bCs/>
          <w:spacing w:val="-30"/>
          <w:sz w:val="28"/>
          <w:szCs w:val="28"/>
        </w:rPr>
        <w:t>）：</w:t>
      </w:r>
    </w:p>
    <w:p w14:paraId="57858F5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rFonts w:ascii="Arial"/>
          <w:sz w:val="28"/>
          <w:szCs w:val="28"/>
        </w:rPr>
      </w:pPr>
    </w:p>
    <w:p w14:paraId="7497EF8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rFonts w:ascii="Arial"/>
          <w:sz w:val="28"/>
          <w:szCs w:val="28"/>
        </w:rPr>
      </w:pPr>
    </w:p>
    <w:p w14:paraId="46BBC6F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rFonts w:ascii="Arial"/>
          <w:sz w:val="28"/>
          <w:szCs w:val="28"/>
        </w:rPr>
      </w:pPr>
    </w:p>
    <w:p w14:paraId="68371E4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rFonts w:ascii="Arial"/>
          <w:sz w:val="28"/>
          <w:szCs w:val="28"/>
        </w:rPr>
      </w:pPr>
    </w:p>
    <w:p w14:paraId="62DC8ED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rFonts w:ascii="Arial"/>
          <w:sz w:val="28"/>
          <w:szCs w:val="28"/>
        </w:rPr>
      </w:pPr>
    </w:p>
    <w:p w14:paraId="145E22A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sz w:val="28"/>
          <w:szCs w:val="28"/>
        </w:rPr>
      </w:pPr>
      <w:r>
        <w:rPr>
          <w:spacing w:val="-7"/>
          <w:sz w:val="28"/>
          <w:szCs w:val="28"/>
        </w:rPr>
        <w:t>投标人代表签字：</w:t>
      </w:r>
    </w:p>
    <w:p w14:paraId="42937AF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sz w:val="28"/>
          <w:szCs w:val="28"/>
        </w:rPr>
      </w:pPr>
      <w:r>
        <w:rPr>
          <w:spacing w:val="-12"/>
          <w:sz w:val="28"/>
          <w:szCs w:val="28"/>
        </w:rPr>
        <w:t>投标人名称（盖单位公章</w:t>
      </w:r>
      <w:r>
        <w:rPr>
          <w:spacing w:val="-9"/>
          <w:sz w:val="28"/>
          <w:szCs w:val="28"/>
        </w:rPr>
        <w:t>）：</w:t>
      </w:r>
    </w:p>
    <w:p w14:paraId="6F76F2C0">
      <w:pPr>
        <w:pStyle w:val="2"/>
        <w:keepNext w:val="0"/>
        <w:keepLines w:val="0"/>
        <w:pageBreakBefore w:val="0"/>
        <w:widowControl/>
        <w:tabs>
          <w:tab w:val="left" w:pos="591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b/>
          <w:bCs/>
          <w:spacing w:val="-14"/>
          <w:sz w:val="28"/>
          <w:szCs w:val="28"/>
        </w:rPr>
      </w:pPr>
      <w:r>
        <w:rPr>
          <w:spacing w:val="-13"/>
          <w:sz w:val="28"/>
          <w:szCs w:val="28"/>
        </w:rPr>
        <w:t>日期：</w:t>
      </w:r>
      <w:r>
        <w:rPr>
          <w:spacing w:val="3"/>
          <w:sz w:val="28"/>
          <w:szCs w:val="28"/>
          <w:u w:val="single" w:color="auto"/>
        </w:rPr>
        <w:t xml:space="preserve">   </w:t>
      </w:r>
      <w:r>
        <w:rPr>
          <w:spacing w:val="-13"/>
          <w:sz w:val="28"/>
          <w:szCs w:val="28"/>
          <w:u w:val="single" w:color="auto"/>
        </w:rPr>
        <w:t>年</w:t>
      </w:r>
      <w:r>
        <w:rPr>
          <w:spacing w:val="4"/>
          <w:sz w:val="28"/>
          <w:szCs w:val="28"/>
          <w:u w:val="single" w:color="auto"/>
        </w:rPr>
        <w:t xml:space="preserve">    </w:t>
      </w:r>
      <w:r>
        <w:rPr>
          <w:spacing w:val="-13"/>
          <w:sz w:val="28"/>
          <w:szCs w:val="28"/>
          <w:u w:val="single" w:color="auto"/>
        </w:rPr>
        <w:t>月</w:t>
      </w:r>
      <w:r>
        <w:rPr>
          <w:spacing w:val="12"/>
          <w:sz w:val="28"/>
          <w:szCs w:val="28"/>
          <w:u w:val="single" w:color="auto"/>
        </w:rPr>
        <w:t xml:space="preserve">  </w:t>
      </w:r>
      <w:r>
        <w:rPr>
          <w:rFonts w:hint="eastAsia"/>
          <w:spacing w:val="12"/>
          <w:sz w:val="28"/>
          <w:szCs w:val="28"/>
          <w:u w:val="single" w:color="auto"/>
          <w:lang w:val="en-US" w:eastAsia="zh-CN"/>
        </w:rPr>
        <w:t>日</w:t>
      </w:r>
      <w:r>
        <w:rPr>
          <w:rFonts w:hint="eastAsia"/>
          <w:spacing w:val="12"/>
          <w:sz w:val="28"/>
          <w:szCs w:val="28"/>
          <w:u w:val="single" w:color="auto"/>
          <w:lang w:val="en-US" w:eastAsia="zh-CN"/>
        </w:rPr>
        <w:tab/>
      </w:r>
    </w:p>
    <w:p w14:paraId="41F02232">
      <w:pPr>
        <w:pStyle w:val="2"/>
        <w:keepNext w:val="0"/>
        <w:keepLines w:val="0"/>
        <w:pageBreakBefore w:val="0"/>
        <w:widowControl/>
        <w:tabs>
          <w:tab w:val="left" w:pos="591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b/>
          <w:bCs/>
          <w:spacing w:val="-14"/>
          <w:sz w:val="28"/>
          <w:szCs w:val="28"/>
        </w:rPr>
      </w:pPr>
    </w:p>
    <w:p w14:paraId="16E4E45E">
      <w:pPr>
        <w:pStyle w:val="2"/>
        <w:keepNext w:val="0"/>
        <w:keepLines w:val="0"/>
        <w:pageBreakBefore w:val="0"/>
        <w:widowControl/>
        <w:tabs>
          <w:tab w:val="left" w:pos="591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b/>
          <w:bCs/>
          <w:spacing w:val="-14"/>
          <w:sz w:val="28"/>
          <w:szCs w:val="28"/>
        </w:rPr>
      </w:pPr>
    </w:p>
    <w:p w14:paraId="562EE317">
      <w:pPr>
        <w:pStyle w:val="2"/>
        <w:keepNext w:val="0"/>
        <w:keepLines w:val="0"/>
        <w:pageBreakBefore w:val="0"/>
        <w:widowControl/>
        <w:tabs>
          <w:tab w:val="left" w:pos="591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b/>
          <w:bCs/>
          <w:spacing w:val="-14"/>
          <w:sz w:val="28"/>
          <w:szCs w:val="28"/>
        </w:rPr>
      </w:pPr>
    </w:p>
    <w:p w14:paraId="584800F4">
      <w:pPr>
        <w:pStyle w:val="2"/>
        <w:keepNext w:val="0"/>
        <w:keepLines w:val="0"/>
        <w:pageBreakBefore w:val="0"/>
        <w:widowControl/>
        <w:tabs>
          <w:tab w:val="left" w:pos="591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b/>
          <w:bCs/>
          <w:spacing w:val="-14"/>
          <w:sz w:val="28"/>
          <w:szCs w:val="28"/>
        </w:rPr>
      </w:pPr>
    </w:p>
    <w:p w14:paraId="23272E25">
      <w:pPr>
        <w:pStyle w:val="2"/>
        <w:keepNext w:val="0"/>
        <w:keepLines w:val="0"/>
        <w:pageBreakBefore w:val="0"/>
        <w:widowControl/>
        <w:tabs>
          <w:tab w:val="left" w:pos="591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b/>
          <w:bCs/>
          <w:spacing w:val="-14"/>
          <w:sz w:val="28"/>
          <w:szCs w:val="28"/>
        </w:rPr>
      </w:pPr>
    </w:p>
    <w:p w14:paraId="3CB617A3">
      <w:pPr>
        <w:pStyle w:val="2"/>
        <w:keepNext w:val="0"/>
        <w:keepLines w:val="0"/>
        <w:pageBreakBefore w:val="0"/>
        <w:widowControl/>
        <w:tabs>
          <w:tab w:val="left" w:pos="591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b/>
          <w:bCs/>
          <w:spacing w:val="-14"/>
          <w:sz w:val="28"/>
          <w:szCs w:val="28"/>
        </w:rPr>
      </w:pPr>
    </w:p>
    <w:p w14:paraId="7BD8D7F0">
      <w:pPr>
        <w:pStyle w:val="2"/>
        <w:keepNext w:val="0"/>
        <w:keepLines w:val="0"/>
        <w:pageBreakBefore w:val="0"/>
        <w:widowControl/>
        <w:tabs>
          <w:tab w:val="left" w:pos="591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b/>
          <w:bCs/>
          <w:spacing w:val="-14"/>
          <w:sz w:val="28"/>
          <w:szCs w:val="28"/>
        </w:rPr>
      </w:pPr>
    </w:p>
    <w:p w14:paraId="42E59ED1">
      <w:pPr>
        <w:pStyle w:val="2"/>
        <w:keepNext w:val="0"/>
        <w:keepLines w:val="0"/>
        <w:pageBreakBefore w:val="0"/>
        <w:widowControl/>
        <w:tabs>
          <w:tab w:val="left" w:pos="591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b/>
          <w:bCs/>
          <w:spacing w:val="-14"/>
          <w:sz w:val="28"/>
          <w:szCs w:val="28"/>
        </w:rPr>
      </w:pPr>
    </w:p>
    <w:p w14:paraId="200BB5D7">
      <w:pPr>
        <w:pStyle w:val="2"/>
        <w:keepNext w:val="0"/>
        <w:keepLines w:val="0"/>
        <w:pageBreakBefore w:val="0"/>
        <w:widowControl/>
        <w:tabs>
          <w:tab w:val="left" w:pos="591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b/>
          <w:bCs/>
          <w:spacing w:val="-14"/>
          <w:sz w:val="28"/>
          <w:szCs w:val="28"/>
        </w:rPr>
      </w:pPr>
    </w:p>
    <w:p w14:paraId="2AC7D5CF">
      <w:pPr>
        <w:pStyle w:val="2"/>
        <w:keepNext w:val="0"/>
        <w:keepLines w:val="0"/>
        <w:pageBreakBefore w:val="0"/>
        <w:widowControl/>
        <w:tabs>
          <w:tab w:val="left" w:pos="591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b/>
          <w:bCs/>
          <w:spacing w:val="-14"/>
          <w:sz w:val="28"/>
          <w:szCs w:val="28"/>
        </w:rPr>
      </w:pPr>
    </w:p>
    <w:p w14:paraId="1CA05279">
      <w:pPr>
        <w:pStyle w:val="2"/>
        <w:keepNext w:val="0"/>
        <w:keepLines w:val="0"/>
        <w:pageBreakBefore w:val="0"/>
        <w:widowControl/>
        <w:tabs>
          <w:tab w:val="left" w:pos="591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b/>
          <w:bCs/>
          <w:spacing w:val="-14"/>
          <w:sz w:val="28"/>
          <w:szCs w:val="28"/>
        </w:rPr>
      </w:pPr>
    </w:p>
    <w:p w14:paraId="25C1FCA7">
      <w:pPr>
        <w:pStyle w:val="2"/>
        <w:keepNext w:val="0"/>
        <w:keepLines w:val="0"/>
        <w:pageBreakBefore w:val="0"/>
        <w:widowControl/>
        <w:tabs>
          <w:tab w:val="left" w:pos="591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b/>
          <w:bCs/>
          <w:spacing w:val="-14"/>
          <w:sz w:val="28"/>
          <w:szCs w:val="28"/>
        </w:rPr>
      </w:pPr>
    </w:p>
    <w:p w14:paraId="12323AA4">
      <w:pPr>
        <w:pStyle w:val="2"/>
        <w:keepNext w:val="0"/>
        <w:keepLines w:val="0"/>
        <w:pageBreakBefore w:val="0"/>
        <w:widowControl/>
        <w:tabs>
          <w:tab w:val="left" w:pos="591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b/>
          <w:bCs/>
          <w:spacing w:val="-14"/>
          <w:sz w:val="28"/>
          <w:szCs w:val="28"/>
        </w:rPr>
      </w:pPr>
    </w:p>
    <w:p w14:paraId="73CDDA72">
      <w:pPr>
        <w:pStyle w:val="2"/>
        <w:keepNext w:val="0"/>
        <w:keepLines w:val="0"/>
        <w:pageBreakBefore w:val="0"/>
        <w:widowControl/>
        <w:tabs>
          <w:tab w:val="left" w:pos="591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b/>
          <w:bCs/>
          <w:spacing w:val="-14"/>
          <w:sz w:val="28"/>
          <w:szCs w:val="28"/>
        </w:rPr>
      </w:pPr>
    </w:p>
    <w:p w14:paraId="420346BC">
      <w:pPr>
        <w:pStyle w:val="2"/>
        <w:keepNext w:val="0"/>
        <w:keepLines w:val="0"/>
        <w:pageBreakBefore w:val="0"/>
        <w:widowControl/>
        <w:tabs>
          <w:tab w:val="left" w:pos="591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b/>
          <w:bCs/>
          <w:spacing w:val="-14"/>
          <w:sz w:val="28"/>
          <w:szCs w:val="28"/>
        </w:rPr>
      </w:pPr>
    </w:p>
    <w:p w14:paraId="2E1226AA">
      <w:pPr>
        <w:pStyle w:val="2"/>
        <w:keepNext w:val="0"/>
        <w:keepLines w:val="0"/>
        <w:pageBreakBefore w:val="0"/>
        <w:widowControl/>
        <w:tabs>
          <w:tab w:val="left" w:pos="591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b/>
          <w:bCs/>
          <w:spacing w:val="-14"/>
          <w:sz w:val="28"/>
          <w:szCs w:val="28"/>
        </w:rPr>
      </w:pPr>
    </w:p>
    <w:p w14:paraId="10089AE9">
      <w:pPr>
        <w:pStyle w:val="2"/>
        <w:keepNext w:val="0"/>
        <w:keepLines w:val="0"/>
        <w:pageBreakBefore w:val="0"/>
        <w:widowControl/>
        <w:tabs>
          <w:tab w:val="left" w:pos="591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sz w:val="28"/>
          <w:szCs w:val="28"/>
        </w:rPr>
      </w:pPr>
      <w:r>
        <w:rPr>
          <w:b/>
          <w:bCs/>
          <w:spacing w:val="-14"/>
          <w:sz w:val="28"/>
          <w:szCs w:val="28"/>
        </w:rPr>
        <w:t>（二）</w:t>
      </w:r>
      <w:r>
        <w:rPr>
          <w:spacing w:val="-67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项目报价：</w:t>
      </w:r>
    </w:p>
    <w:p w14:paraId="6D791824">
      <w:pPr>
        <w:pStyle w:val="2"/>
        <w:keepNext w:val="0"/>
        <w:keepLines w:val="0"/>
        <w:pageBreakBefore w:val="0"/>
        <w:widowControl/>
        <w:numPr>
          <w:ilvl w:val="0"/>
          <w:numId w:val="4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25" w:hanging="425"/>
        <w:textAlignment w:val="baseline"/>
        <w:rPr>
          <w:sz w:val="28"/>
          <w:szCs w:val="28"/>
        </w:rPr>
      </w:pPr>
      <w:r>
        <w:rPr>
          <w:rFonts w:hint="eastAsia"/>
          <w:spacing w:val="-1"/>
          <w:sz w:val="28"/>
          <w:szCs w:val="28"/>
          <w:lang w:val="en-US" w:eastAsia="zh-CN"/>
        </w:rPr>
        <w:t>荔湾院区</w:t>
      </w:r>
      <w:r>
        <w:rPr>
          <w:b/>
          <w:bCs/>
          <w:spacing w:val="-1"/>
          <w:sz w:val="28"/>
          <w:szCs w:val="28"/>
        </w:rPr>
        <w:t>：</w:t>
      </w:r>
    </w:p>
    <w:tbl>
      <w:tblPr>
        <w:tblStyle w:val="8"/>
        <w:tblW w:w="7977" w:type="dxa"/>
        <w:tblInd w:w="21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7"/>
        <w:gridCol w:w="6180"/>
      </w:tblGrid>
      <w:tr w14:paraId="7F25D5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1797" w:type="dxa"/>
            <w:vAlign w:val="center"/>
          </w:tcPr>
          <w:p w14:paraId="3EED2E4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firstLine="0"/>
              <w:textAlignment w:val="baseline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内容</w:t>
            </w:r>
          </w:p>
        </w:tc>
        <w:tc>
          <w:tcPr>
            <w:tcW w:w="6180" w:type="dxa"/>
            <w:vAlign w:val="center"/>
          </w:tcPr>
          <w:p w14:paraId="7CC8DD4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firstLine="0"/>
              <w:textAlignment w:val="baseline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金额（元）</w:t>
            </w:r>
          </w:p>
        </w:tc>
      </w:tr>
      <w:tr w14:paraId="08FD1D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1797" w:type="dxa"/>
            <w:vAlign w:val="center"/>
          </w:tcPr>
          <w:p w14:paraId="65411EE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firstLine="0"/>
              <w:textAlignment w:val="baseline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投标总报价</w:t>
            </w:r>
          </w:p>
        </w:tc>
        <w:tc>
          <w:tcPr>
            <w:tcW w:w="6180" w:type="dxa"/>
            <w:vAlign w:val="center"/>
          </w:tcPr>
          <w:p w14:paraId="573974B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firstLine="0"/>
              <w:textAlignment w:val="baseline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（大写）人民币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>元/三年</w:t>
            </w:r>
          </w:p>
          <w:p w14:paraId="05D83BA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firstLine="0"/>
              <w:textAlignment w:val="baseline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（小写）¥元/三年</w:t>
            </w:r>
          </w:p>
        </w:tc>
      </w:tr>
      <w:tr w14:paraId="07EE05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1797" w:type="dxa"/>
            <w:vAlign w:val="center"/>
          </w:tcPr>
          <w:p w14:paraId="6F6B8A5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firstLine="0"/>
              <w:textAlignment w:val="baseline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服务期限</w:t>
            </w:r>
          </w:p>
        </w:tc>
        <w:tc>
          <w:tcPr>
            <w:tcW w:w="6180" w:type="dxa"/>
            <w:vAlign w:val="center"/>
          </w:tcPr>
          <w:p w14:paraId="4490D31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firstLine="0"/>
              <w:textAlignment w:val="baseline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自合同签订之日起满三年</w:t>
            </w:r>
          </w:p>
        </w:tc>
      </w:tr>
      <w:tr w14:paraId="6784A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7977" w:type="dxa"/>
            <w:gridSpan w:val="2"/>
            <w:vAlign w:val="center"/>
          </w:tcPr>
          <w:p w14:paraId="7454C1F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firstLine="0"/>
              <w:textAlignment w:val="baseline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备注：详细内容见《投标明细报价表》。</w:t>
            </w:r>
          </w:p>
        </w:tc>
      </w:tr>
    </w:tbl>
    <w:p w14:paraId="715E203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sz w:val="28"/>
          <w:szCs w:val="28"/>
        </w:rPr>
      </w:pPr>
      <w:r>
        <w:rPr>
          <w:spacing w:val="-2"/>
          <w:sz w:val="28"/>
          <w:szCs w:val="28"/>
        </w:rPr>
        <w:t>注：1.本项目的报价和结算支付均以人民币为货币单位。</w:t>
      </w:r>
    </w:p>
    <w:p w14:paraId="1F9D74A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sz w:val="28"/>
          <w:szCs w:val="28"/>
        </w:rPr>
      </w:pPr>
      <w:r>
        <w:rPr>
          <w:spacing w:val="-2"/>
          <w:sz w:val="28"/>
          <w:szCs w:val="28"/>
        </w:rPr>
        <w:t>2.投标人的投标报价必须在投标限价范围内，否则，其投标无效。</w:t>
      </w:r>
    </w:p>
    <w:p w14:paraId="15A0133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3.此表格式不能更改。</w:t>
      </w:r>
    </w:p>
    <w:p w14:paraId="7A8994A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rFonts w:hint="eastAsia"/>
          <w:spacing w:val="-4"/>
          <w:sz w:val="28"/>
          <w:szCs w:val="28"/>
          <w:lang w:eastAsia="zh-CN"/>
        </w:rPr>
      </w:pPr>
    </w:p>
    <w:p w14:paraId="52789EC6">
      <w:pPr>
        <w:pStyle w:val="2"/>
        <w:keepNext w:val="0"/>
        <w:keepLines w:val="0"/>
        <w:pageBreakBefore w:val="0"/>
        <w:widowControl/>
        <w:numPr>
          <w:ilvl w:val="0"/>
          <w:numId w:val="4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25" w:hanging="425"/>
        <w:textAlignment w:val="baseline"/>
        <w:rPr>
          <w:sz w:val="28"/>
          <w:szCs w:val="28"/>
        </w:rPr>
      </w:pPr>
      <w:r>
        <w:rPr>
          <w:rFonts w:hint="eastAsia"/>
          <w:spacing w:val="-1"/>
          <w:sz w:val="28"/>
          <w:szCs w:val="28"/>
          <w:lang w:val="en-US" w:eastAsia="zh-CN"/>
        </w:rPr>
        <w:t>黄埔</w:t>
      </w:r>
      <w:r>
        <w:rPr>
          <w:rFonts w:hint="eastAsia"/>
          <w:spacing w:val="-1"/>
          <w:sz w:val="28"/>
          <w:szCs w:val="28"/>
          <w:lang w:val="en-US" w:eastAsia="zh-CN"/>
        </w:rPr>
        <w:t>院区</w:t>
      </w:r>
      <w:r>
        <w:rPr>
          <w:b/>
          <w:bCs/>
          <w:spacing w:val="-1"/>
          <w:sz w:val="28"/>
          <w:szCs w:val="28"/>
        </w:rPr>
        <w:t>：</w:t>
      </w:r>
    </w:p>
    <w:tbl>
      <w:tblPr>
        <w:tblStyle w:val="8"/>
        <w:tblW w:w="7992" w:type="dxa"/>
        <w:tblInd w:w="21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59"/>
        <w:gridCol w:w="5833"/>
      </w:tblGrid>
      <w:tr w14:paraId="3930B0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2159" w:type="dxa"/>
            <w:vAlign w:val="center"/>
          </w:tcPr>
          <w:p w14:paraId="7F5CA70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firstLine="0"/>
              <w:textAlignment w:val="baseline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内容</w:t>
            </w:r>
          </w:p>
        </w:tc>
        <w:tc>
          <w:tcPr>
            <w:tcW w:w="5833" w:type="dxa"/>
            <w:vAlign w:val="center"/>
          </w:tcPr>
          <w:p w14:paraId="51263B9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firstLine="0"/>
              <w:textAlignment w:val="baseline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金额（元）</w:t>
            </w:r>
          </w:p>
        </w:tc>
      </w:tr>
      <w:tr w14:paraId="659BE5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6" w:hRule="atLeast"/>
        </w:trPr>
        <w:tc>
          <w:tcPr>
            <w:tcW w:w="2159" w:type="dxa"/>
            <w:vAlign w:val="center"/>
          </w:tcPr>
          <w:p w14:paraId="68D4ECE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firstLine="0"/>
              <w:textAlignment w:val="baseline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投标总报价</w:t>
            </w:r>
          </w:p>
        </w:tc>
        <w:tc>
          <w:tcPr>
            <w:tcW w:w="5833" w:type="dxa"/>
            <w:vAlign w:val="center"/>
          </w:tcPr>
          <w:p w14:paraId="2896866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firstLine="0"/>
              <w:textAlignment w:val="baseline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（大写）人民币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>元/三年</w:t>
            </w:r>
          </w:p>
          <w:p w14:paraId="7C81DD9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firstLine="0"/>
              <w:textAlignment w:val="baseline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（小写）¥元/三年</w:t>
            </w:r>
          </w:p>
        </w:tc>
      </w:tr>
      <w:tr w14:paraId="541A8D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159" w:type="dxa"/>
            <w:vAlign w:val="center"/>
          </w:tcPr>
          <w:p w14:paraId="5A56AEF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firstLine="0"/>
              <w:textAlignment w:val="baseline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服务期限</w:t>
            </w:r>
          </w:p>
        </w:tc>
        <w:tc>
          <w:tcPr>
            <w:tcW w:w="5833" w:type="dxa"/>
            <w:vAlign w:val="center"/>
          </w:tcPr>
          <w:p w14:paraId="1593A09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firstLine="0"/>
              <w:textAlignment w:val="baseline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自合同签订之日起满三年</w:t>
            </w:r>
          </w:p>
        </w:tc>
      </w:tr>
      <w:tr w14:paraId="716A8E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992" w:type="dxa"/>
            <w:gridSpan w:val="2"/>
            <w:vAlign w:val="center"/>
          </w:tcPr>
          <w:p w14:paraId="2F4D3DC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firstLine="0"/>
              <w:textAlignment w:val="baseline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备注：详细内容见《投标明细报价表》。</w:t>
            </w:r>
          </w:p>
        </w:tc>
      </w:tr>
    </w:tbl>
    <w:p w14:paraId="5AC19E4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sz w:val="28"/>
          <w:szCs w:val="28"/>
        </w:rPr>
      </w:pPr>
      <w:r>
        <w:rPr>
          <w:spacing w:val="-2"/>
          <w:sz w:val="28"/>
          <w:szCs w:val="28"/>
        </w:rPr>
        <w:t>注：1.本项目的报价和结算支付均以人民币为货币单位。</w:t>
      </w:r>
    </w:p>
    <w:p w14:paraId="5ADB380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sz w:val="28"/>
          <w:szCs w:val="28"/>
        </w:rPr>
      </w:pPr>
      <w:r>
        <w:rPr>
          <w:spacing w:val="-2"/>
          <w:sz w:val="28"/>
          <w:szCs w:val="28"/>
        </w:rPr>
        <w:t>2.投标人的投标报价必须在投标限价范围内，否则，其投标无效。</w:t>
      </w:r>
    </w:p>
    <w:p w14:paraId="170C917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sz w:val="28"/>
          <w:szCs w:val="28"/>
        </w:rPr>
      </w:pPr>
      <w:r>
        <w:rPr>
          <w:spacing w:val="-5"/>
          <w:sz w:val="28"/>
          <w:szCs w:val="28"/>
        </w:rPr>
        <w:t>3.此表格式不能更改。</w:t>
      </w:r>
    </w:p>
    <w:p w14:paraId="79F6EFB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spacing w:val="-7"/>
          <w:sz w:val="28"/>
          <w:szCs w:val="28"/>
        </w:rPr>
      </w:pPr>
    </w:p>
    <w:p w14:paraId="4607ABC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sz w:val="28"/>
          <w:szCs w:val="28"/>
        </w:rPr>
      </w:pPr>
      <w:r>
        <w:rPr>
          <w:spacing w:val="-7"/>
          <w:sz w:val="28"/>
          <w:szCs w:val="28"/>
        </w:rPr>
        <w:t>投标人代表签字：</w:t>
      </w:r>
    </w:p>
    <w:p w14:paraId="40599A4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sz w:val="28"/>
          <w:szCs w:val="28"/>
        </w:rPr>
      </w:pPr>
      <w:r>
        <w:rPr>
          <w:spacing w:val="-12"/>
          <w:sz w:val="28"/>
          <w:szCs w:val="28"/>
        </w:rPr>
        <w:t>投标人名称（盖单位公章</w:t>
      </w:r>
      <w:r>
        <w:rPr>
          <w:spacing w:val="-9"/>
          <w:sz w:val="28"/>
          <w:szCs w:val="28"/>
        </w:rPr>
        <w:t>）：</w:t>
      </w:r>
    </w:p>
    <w:p w14:paraId="14C2C809">
      <w:pPr>
        <w:pStyle w:val="2"/>
        <w:rPr>
          <w:rFonts w:hint="eastAsia"/>
          <w:spacing w:val="4"/>
          <w:sz w:val="28"/>
          <w:szCs w:val="28"/>
          <w:u w:val="single" w:color="auto"/>
          <w:lang w:val="en-US" w:eastAsia="zh-CN"/>
        </w:rPr>
      </w:pPr>
      <w:r>
        <w:rPr>
          <w:spacing w:val="-13"/>
          <w:sz w:val="28"/>
          <w:szCs w:val="28"/>
        </w:rPr>
        <w:t>日期：</w:t>
      </w:r>
      <w:r>
        <w:rPr>
          <w:spacing w:val="3"/>
          <w:sz w:val="28"/>
          <w:szCs w:val="28"/>
          <w:u w:val="single" w:color="auto"/>
        </w:rPr>
        <w:t xml:space="preserve">   </w:t>
      </w:r>
      <w:r>
        <w:rPr>
          <w:spacing w:val="-13"/>
          <w:sz w:val="28"/>
          <w:szCs w:val="28"/>
          <w:u w:val="single" w:color="auto"/>
        </w:rPr>
        <w:t>年</w:t>
      </w:r>
      <w:r>
        <w:rPr>
          <w:spacing w:val="4"/>
          <w:sz w:val="28"/>
          <w:szCs w:val="28"/>
          <w:u w:val="single" w:color="auto"/>
        </w:rPr>
        <w:t xml:space="preserve">   </w:t>
      </w:r>
      <w:r>
        <w:rPr>
          <w:rFonts w:hint="eastAsia"/>
          <w:spacing w:val="4"/>
          <w:sz w:val="28"/>
          <w:szCs w:val="28"/>
          <w:u w:val="single" w:color="auto"/>
          <w:lang w:val="en-US" w:eastAsia="zh-CN"/>
        </w:rPr>
        <w:t>月   日</w:t>
      </w:r>
    </w:p>
    <w:p w14:paraId="53D9E3C9">
      <w:pPr>
        <w:pStyle w:val="2"/>
        <w:keepNext w:val="0"/>
        <w:keepLines w:val="0"/>
        <w:pageBreakBefore w:val="0"/>
        <w:widowControl/>
        <w:tabs>
          <w:tab w:val="left" w:pos="591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0"/>
        <w:textAlignment w:val="baseline"/>
        <w:rPr>
          <w:b/>
          <w:bCs/>
          <w:spacing w:val="-14"/>
          <w:sz w:val="28"/>
          <w:szCs w:val="28"/>
        </w:rPr>
      </w:pPr>
      <w:r>
        <w:rPr>
          <w:b/>
          <w:bCs/>
          <w:spacing w:val="-14"/>
          <w:sz w:val="28"/>
          <w:szCs w:val="28"/>
        </w:rPr>
        <w:t>（三）投标分项报价表</w:t>
      </w:r>
    </w:p>
    <w:p w14:paraId="1E796F2E">
      <w:pPr>
        <w:spacing w:line="116" w:lineRule="exact"/>
      </w:pPr>
    </w:p>
    <w:tbl>
      <w:tblPr>
        <w:tblStyle w:val="8"/>
        <w:tblW w:w="8985" w:type="dxa"/>
        <w:tblInd w:w="2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9"/>
        <w:gridCol w:w="1706"/>
        <w:gridCol w:w="2166"/>
        <w:gridCol w:w="909"/>
        <w:gridCol w:w="664"/>
        <w:gridCol w:w="662"/>
        <w:gridCol w:w="1048"/>
        <w:gridCol w:w="1341"/>
      </w:tblGrid>
      <w:tr w14:paraId="666910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8985" w:type="dxa"/>
            <w:gridSpan w:val="8"/>
            <w:vAlign w:val="center"/>
          </w:tcPr>
          <w:p w14:paraId="03C5B2B8">
            <w:pPr>
              <w:pStyle w:val="7"/>
              <w:spacing w:before="134" w:line="220" w:lineRule="auto"/>
              <w:ind w:left="123"/>
            </w:pPr>
            <w:r>
              <w:rPr>
                <w:b/>
                <w:bCs/>
                <w:spacing w:val="-4"/>
              </w:rPr>
              <w:t>一、费用的组成</w:t>
            </w:r>
          </w:p>
        </w:tc>
      </w:tr>
      <w:tr w14:paraId="22C0B7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89" w:type="dxa"/>
            <w:textDirection w:val="tbRlV"/>
            <w:vAlign w:val="center"/>
          </w:tcPr>
          <w:p w14:paraId="349AD9EB">
            <w:pPr>
              <w:pStyle w:val="7"/>
              <w:spacing w:before="143" w:line="203" w:lineRule="auto"/>
              <w:ind w:left="63"/>
            </w:pPr>
            <w:r>
              <w:rPr>
                <w:b/>
                <w:bCs/>
                <w:spacing w:val="-3"/>
              </w:rPr>
              <w:t>序</w:t>
            </w:r>
            <w:r>
              <w:rPr>
                <w:spacing w:val="-43"/>
              </w:rPr>
              <w:t xml:space="preserve"> </w:t>
            </w:r>
            <w:r>
              <w:rPr>
                <w:b/>
                <w:bCs/>
                <w:spacing w:val="-3"/>
              </w:rPr>
              <w:t>号</w:t>
            </w:r>
          </w:p>
        </w:tc>
        <w:tc>
          <w:tcPr>
            <w:tcW w:w="1706" w:type="dxa"/>
            <w:vAlign w:val="center"/>
          </w:tcPr>
          <w:p w14:paraId="181F260A">
            <w:pPr>
              <w:pStyle w:val="7"/>
              <w:spacing w:before="195" w:line="220" w:lineRule="auto"/>
              <w:ind w:left="523"/>
            </w:pPr>
            <w:r>
              <w:rPr>
                <w:b/>
                <w:bCs/>
                <w:spacing w:val="-5"/>
              </w:rPr>
              <w:t>分项名称</w:t>
            </w:r>
          </w:p>
        </w:tc>
        <w:tc>
          <w:tcPr>
            <w:tcW w:w="2166" w:type="dxa"/>
            <w:vAlign w:val="center"/>
          </w:tcPr>
          <w:p w14:paraId="63782DE3">
            <w:pPr>
              <w:pStyle w:val="7"/>
              <w:spacing w:before="195" w:line="219" w:lineRule="auto"/>
              <w:ind w:left="773"/>
            </w:pPr>
            <w:r>
              <w:rPr>
                <w:b/>
                <w:bCs/>
                <w:spacing w:val="-5"/>
              </w:rPr>
              <w:t>具体内容</w:t>
            </w:r>
          </w:p>
        </w:tc>
        <w:tc>
          <w:tcPr>
            <w:tcW w:w="909" w:type="dxa"/>
            <w:vAlign w:val="center"/>
          </w:tcPr>
          <w:p w14:paraId="311F8575">
            <w:pPr>
              <w:pStyle w:val="7"/>
              <w:spacing w:before="195" w:line="220" w:lineRule="auto"/>
              <w:ind w:left="138"/>
            </w:pPr>
            <w:r>
              <w:rPr>
                <w:b/>
                <w:bCs/>
                <w:spacing w:val="-7"/>
              </w:rPr>
              <w:t>单位</w:t>
            </w:r>
          </w:p>
        </w:tc>
        <w:tc>
          <w:tcPr>
            <w:tcW w:w="664" w:type="dxa"/>
            <w:vAlign w:val="center"/>
          </w:tcPr>
          <w:p w14:paraId="31C53F66">
            <w:pPr>
              <w:pStyle w:val="7"/>
              <w:spacing w:before="195" w:line="219" w:lineRule="auto"/>
              <w:ind w:left="136"/>
            </w:pPr>
            <w:r>
              <w:rPr>
                <w:b/>
                <w:bCs/>
                <w:spacing w:val="-7"/>
              </w:rPr>
              <w:t>数量</w:t>
            </w:r>
          </w:p>
        </w:tc>
        <w:tc>
          <w:tcPr>
            <w:tcW w:w="662" w:type="dxa"/>
            <w:textDirection w:val="tbRlV"/>
            <w:vAlign w:val="center"/>
          </w:tcPr>
          <w:p w14:paraId="63128BD4">
            <w:pPr>
              <w:pStyle w:val="7"/>
              <w:spacing w:before="187" w:line="206" w:lineRule="auto"/>
              <w:ind w:left="195"/>
            </w:pPr>
            <w:r>
              <w:rPr>
                <w:b/>
                <w:bCs/>
                <w:spacing w:val="32"/>
              </w:rPr>
              <w:t>单价</w:t>
            </w:r>
          </w:p>
        </w:tc>
        <w:tc>
          <w:tcPr>
            <w:tcW w:w="1048" w:type="dxa"/>
            <w:vAlign w:val="center"/>
          </w:tcPr>
          <w:p w14:paraId="4E81D857">
            <w:pPr>
              <w:pStyle w:val="7"/>
              <w:spacing w:before="194" w:line="242" w:lineRule="auto"/>
              <w:ind w:left="76" w:right="35" w:hanging="24"/>
            </w:pPr>
            <w:r>
              <w:rPr>
                <w:b/>
                <w:bCs/>
                <w:spacing w:val="-4"/>
              </w:rPr>
              <w:t>合计（元</w:t>
            </w:r>
            <w:r>
              <w:t xml:space="preserve"> </w:t>
            </w:r>
            <w:r>
              <w:rPr>
                <w:b/>
                <w:bCs/>
                <w:spacing w:val="-3"/>
              </w:rPr>
              <w:t>)</w:t>
            </w:r>
          </w:p>
        </w:tc>
        <w:tc>
          <w:tcPr>
            <w:tcW w:w="1341" w:type="dxa"/>
            <w:vAlign w:val="center"/>
          </w:tcPr>
          <w:p w14:paraId="1A8A1E0F">
            <w:pPr>
              <w:pStyle w:val="7"/>
              <w:spacing w:before="195" w:line="219" w:lineRule="auto"/>
              <w:ind w:left="276"/>
            </w:pPr>
            <w:r>
              <w:rPr>
                <w:b/>
                <w:bCs/>
                <w:spacing w:val="-9"/>
              </w:rPr>
              <w:t>说</w:t>
            </w:r>
            <w:r>
              <w:rPr>
                <w:spacing w:val="21"/>
              </w:rPr>
              <w:t xml:space="preserve">   </w:t>
            </w:r>
            <w:r>
              <w:rPr>
                <w:b/>
                <w:bCs/>
                <w:spacing w:val="-9"/>
              </w:rPr>
              <w:t>明</w:t>
            </w:r>
          </w:p>
        </w:tc>
      </w:tr>
      <w:tr w14:paraId="1BBF73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489" w:type="dxa"/>
            <w:vAlign w:val="center"/>
          </w:tcPr>
          <w:p w14:paraId="6C779B60">
            <w:pPr>
              <w:pStyle w:val="7"/>
              <w:spacing w:before="49" w:line="241" w:lineRule="auto"/>
              <w:ind w:left="136"/>
            </w:pPr>
            <w:r>
              <w:t>1</w:t>
            </w:r>
          </w:p>
        </w:tc>
        <w:tc>
          <w:tcPr>
            <w:tcW w:w="1706" w:type="dxa"/>
            <w:vAlign w:val="center"/>
          </w:tcPr>
          <w:p w14:paraId="73777758">
            <w:pPr>
              <w:rPr>
                <w:rFonts w:ascii="Arial"/>
                <w:sz w:val="21"/>
              </w:rPr>
            </w:pPr>
          </w:p>
        </w:tc>
        <w:tc>
          <w:tcPr>
            <w:tcW w:w="2166" w:type="dxa"/>
            <w:vAlign w:val="center"/>
          </w:tcPr>
          <w:p w14:paraId="4501E8C2"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center"/>
          </w:tcPr>
          <w:p w14:paraId="04C4EA83">
            <w:pPr>
              <w:rPr>
                <w:rFonts w:ascii="Arial"/>
                <w:sz w:val="21"/>
              </w:rPr>
            </w:pPr>
          </w:p>
        </w:tc>
        <w:tc>
          <w:tcPr>
            <w:tcW w:w="664" w:type="dxa"/>
            <w:vAlign w:val="center"/>
          </w:tcPr>
          <w:p w14:paraId="0FCE7E55">
            <w:pPr>
              <w:rPr>
                <w:rFonts w:ascii="Arial"/>
                <w:sz w:val="21"/>
              </w:rPr>
            </w:pPr>
          </w:p>
        </w:tc>
        <w:tc>
          <w:tcPr>
            <w:tcW w:w="662" w:type="dxa"/>
            <w:vAlign w:val="center"/>
          </w:tcPr>
          <w:p w14:paraId="26C77C74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center"/>
          </w:tcPr>
          <w:p w14:paraId="3DA058B7">
            <w:pPr>
              <w:rPr>
                <w:rFonts w:ascii="Arial"/>
                <w:sz w:val="21"/>
              </w:rPr>
            </w:pPr>
          </w:p>
        </w:tc>
        <w:tc>
          <w:tcPr>
            <w:tcW w:w="1341" w:type="dxa"/>
            <w:vAlign w:val="center"/>
          </w:tcPr>
          <w:p w14:paraId="5E3FB496">
            <w:pPr>
              <w:rPr>
                <w:rFonts w:ascii="Arial"/>
                <w:sz w:val="21"/>
              </w:rPr>
            </w:pPr>
          </w:p>
        </w:tc>
      </w:tr>
      <w:tr w14:paraId="737DDA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489" w:type="dxa"/>
            <w:vAlign w:val="center"/>
          </w:tcPr>
          <w:p w14:paraId="590B66DE">
            <w:pPr>
              <w:pStyle w:val="7"/>
              <w:spacing w:before="50" w:line="241" w:lineRule="auto"/>
              <w:ind w:left="122"/>
            </w:pPr>
            <w:r>
              <w:t>2</w:t>
            </w:r>
          </w:p>
        </w:tc>
        <w:tc>
          <w:tcPr>
            <w:tcW w:w="1706" w:type="dxa"/>
            <w:vAlign w:val="center"/>
          </w:tcPr>
          <w:p w14:paraId="225CADDC">
            <w:pPr>
              <w:rPr>
                <w:rFonts w:ascii="Arial"/>
                <w:sz w:val="21"/>
              </w:rPr>
            </w:pPr>
          </w:p>
        </w:tc>
        <w:tc>
          <w:tcPr>
            <w:tcW w:w="2166" w:type="dxa"/>
            <w:vAlign w:val="center"/>
          </w:tcPr>
          <w:p w14:paraId="2D79515D"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center"/>
          </w:tcPr>
          <w:p w14:paraId="7B22EB9E">
            <w:pPr>
              <w:rPr>
                <w:rFonts w:ascii="Arial"/>
                <w:sz w:val="21"/>
              </w:rPr>
            </w:pPr>
          </w:p>
        </w:tc>
        <w:tc>
          <w:tcPr>
            <w:tcW w:w="664" w:type="dxa"/>
            <w:vAlign w:val="center"/>
          </w:tcPr>
          <w:p w14:paraId="6BF8D249">
            <w:pPr>
              <w:rPr>
                <w:rFonts w:ascii="Arial"/>
                <w:sz w:val="21"/>
              </w:rPr>
            </w:pPr>
          </w:p>
        </w:tc>
        <w:tc>
          <w:tcPr>
            <w:tcW w:w="662" w:type="dxa"/>
            <w:vAlign w:val="center"/>
          </w:tcPr>
          <w:p w14:paraId="0E290506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center"/>
          </w:tcPr>
          <w:p w14:paraId="43A86D75">
            <w:pPr>
              <w:rPr>
                <w:rFonts w:ascii="Arial"/>
                <w:sz w:val="21"/>
              </w:rPr>
            </w:pPr>
          </w:p>
        </w:tc>
        <w:tc>
          <w:tcPr>
            <w:tcW w:w="1341" w:type="dxa"/>
            <w:vAlign w:val="center"/>
          </w:tcPr>
          <w:p w14:paraId="3FCBCEC4">
            <w:pPr>
              <w:rPr>
                <w:rFonts w:ascii="Arial"/>
                <w:sz w:val="21"/>
              </w:rPr>
            </w:pPr>
          </w:p>
        </w:tc>
      </w:tr>
      <w:tr w14:paraId="0A3F2C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489" w:type="dxa"/>
            <w:vAlign w:val="center"/>
          </w:tcPr>
          <w:p w14:paraId="2008CD32">
            <w:pPr>
              <w:pStyle w:val="7"/>
              <w:spacing w:before="53" w:line="363" w:lineRule="exact"/>
              <w:ind w:left="134"/>
            </w:pPr>
            <w:r>
              <w:rPr>
                <w:position w:val="2"/>
              </w:rPr>
              <w:t>…</w:t>
            </w:r>
          </w:p>
        </w:tc>
        <w:tc>
          <w:tcPr>
            <w:tcW w:w="1706" w:type="dxa"/>
            <w:vAlign w:val="center"/>
          </w:tcPr>
          <w:p w14:paraId="5827BD6D">
            <w:pPr>
              <w:rPr>
                <w:rFonts w:ascii="Arial"/>
                <w:sz w:val="21"/>
              </w:rPr>
            </w:pPr>
          </w:p>
        </w:tc>
        <w:tc>
          <w:tcPr>
            <w:tcW w:w="2166" w:type="dxa"/>
            <w:vAlign w:val="center"/>
          </w:tcPr>
          <w:p w14:paraId="215BE12C"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center"/>
          </w:tcPr>
          <w:p w14:paraId="5A47D40F">
            <w:pPr>
              <w:rPr>
                <w:rFonts w:ascii="Arial"/>
                <w:sz w:val="21"/>
              </w:rPr>
            </w:pPr>
          </w:p>
        </w:tc>
        <w:tc>
          <w:tcPr>
            <w:tcW w:w="664" w:type="dxa"/>
            <w:vAlign w:val="center"/>
          </w:tcPr>
          <w:p w14:paraId="0BC059E7">
            <w:pPr>
              <w:rPr>
                <w:rFonts w:ascii="Arial"/>
                <w:sz w:val="21"/>
              </w:rPr>
            </w:pPr>
          </w:p>
        </w:tc>
        <w:tc>
          <w:tcPr>
            <w:tcW w:w="662" w:type="dxa"/>
            <w:vAlign w:val="center"/>
          </w:tcPr>
          <w:p w14:paraId="7937D433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center"/>
          </w:tcPr>
          <w:p w14:paraId="3C204699">
            <w:pPr>
              <w:rPr>
                <w:rFonts w:ascii="Arial"/>
                <w:sz w:val="21"/>
              </w:rPr>
            </w:pPr>
          </w:p>
        </w:tc>
        <w:tc>
          <w:tcPr>
            <w:tcW w:w="1341" w:type="dxa"/>
            <w:vAlign w:val="center"/>
          </w:tcPr>
          <w:p w14:paraId="595F3C71">
            <w:pPr>
              <w:rPr>
                <w:rFonts w:ascii="Arial"/>
                <w:sz w:val="21"/>
              </w:rPr>
            </w:pPr>
          </w:p>
        </w:tc>
      </w:tr>
      <w:tr w14:paraId="670BAF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4361" w:type="dxa"/>
            <w:gridSpan w:val="3"/>
            <w:vAlign w:val="center"/>
          </w:tcPr>
          <w:p w14:paraId="223B16F5">
            <w:pPr>
              <w:pStyle w:val="7"/>
              <w:spacing w:before="108" w:line="221" w:lineRule="auto"/>
              <w:ind w:left="1740"/>
            </w:pPr>
            <w:r>
              <w:rPr>
                <w:b/>
                <w:bCs/>
                <w:spacing w:val="-8"/>
              </w:rPr>
              <w:t>合</w:t>
            </w:r>
            <w:r>
              <w:rPr>
                <w:spacing w:val="5"/>
              </w:rPr>
              <w:t xml:space="preserve">    </w:t>
            </w:r>
            <w:r>
              <w:rPr>
                <w:b/>
                <w:bCs/>
                <w:spacing w:val="-8"/>
              </w:rPr>
              <w:t>计</w:t>
            </w:r>
          </w:p>
        </w:tc>
        <w:tc>
          <w:tcPr>
            <w:tcW w:w="2235" w:type="dxa"/>
            <w:gridSpan w:val="3"/>
            <w:vAlign w:val="center"/>
          </w:tcPr>
          <w:p w14:paraId="0042FFA5">
            <w:pPr>
              <w:pStyle w:val="7"/>
              <w:spacing w:before="67" w:line="219" w:lineRule="auto"/>
              <w:ind w:left="138"/>
            </w:pPr>
            <w:r>
              <w:rPr>
                <w:b/>
                <w:bCs/>
                <w:spacing w:val="-10"/>
              </w:rPr>
              <w:t>数量合计：</w:t>
            </w:r>
          </w:p>
        </w:tc>
        <w:tc>
          <w:tcPr>
            <w:tcW w:w="2389" w:type="dxa"/>
            <w:gridSpan w:val="2"/>
            <w:vAlign w:val="center"/>
          </w:tcPr>
          <w:p w14:paraId="12FA8B93">
            <w:pPr>
              <w:pStyle w:val="7"/>
              <w:spacing w:before="67" w:line="218" w:lineRule="auto"/>
              <w:ind w:left="136"/>
            </w:pPr>
            <w:r>
              <w:rPr>
                <w:b/>
                <w:bCs/>
                <w:spacing w:val="-2"/>
              </w:rPr>
              <w:t>报价合计：</w:t>
            </w:r>
            <w:r>
              <w:rPr>
                <w:spacing w:val="-2"/>
              </w:rPr>
              <w:t xml:space="preserve">   </w:t>
            </w:r>
            <w:r>
              <w:rPr>
                <w:b/>
                <w:bCs/>
                <w:spacing w:val="-2"/>
              </w:rPr>
              <w:t>元</w:t>
            </w:r>
          </w:p>
        </w:tc>
      </w:tr>
      <w:tr w14:paraId="087B82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8985" w:type="dxa"/>
            <w:gridSpan w:val="8"/>
            <w:vAlign w:val="center"/>
          </w:tcPr>
          <w:p w14:paraId="3F52DC9C">
            <w:pPr>
              <w:pStyle w:val="7"/>
              <w:spacing w:before="154" w:line="220" w:lineRule="auto"/>
              <w:ind w:left="123"/>
            </w:pPr>
            <w:r>
              <w:rPr>
                <w:b/>
                <w:bCs/>
                <w:spacing w:val="-4"/>
              </w:rPr>
              <w:t>二、其他费用</w:t>
            </w:r>
          </w:p>
        </w:tc>
      </w:tr>
      <w:tr w14:paraId="2BC89D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489" w:type="dxa"/>
            <w:textDirection w:val="tbRlV"/>
            <w:vAlign w:val="center"/>
          </w:tcPr>
          <w:p w14:paraId="25CE09C8">
            <w:pPr>
              <w:pStyle w:val="7"/>
              <w:spacing w:before="143" w:line="203" w:lineRule="auto"/>
              <w:ind w:left="66"/>
            </w:pPr>
            <w:r>
              <w:rPr>
                <w:b/>
                <w:bCs/>
                <w:spacing w:val="-3"/>
              </w:rPr>
              <w:t>序</w:t>
            </w:r>
            <w:r>
              <w:rPr>
                <w:spacing w:val="-46"/>
              </w:rPr>
              <w:t xml:space="preserve"> </w:t>
            </w:r>
            <w:r>
              <w:rPr>
                <w:b/>
                <w:bCs/>
                <w:spacing w:val="-3"/>
              </w:rPr>
              <w:t>号</w:t>
            </w:r>
          </w:p>
        </w:tc>
        <w:tc>
          <w:tcPr>
            <w:tcW w:w="1706" w:type="dxa"/>
            <w:vAlign w:val="center"/>
          </w:tcPr>
          <w:p w14:paraId="2E6F1DD1">
            <w:pPr>
              <w:pStyle w:val="7"/>
              <w:spacing w:before="200" w:line="220" w:lineRule="auto"/>
              <w:ind w:left="523"/>
            </w:pPr>
            <w:r>
              <w:rPr>
                <w:b/>
                <w:bCs/>
                <w:spacing w:val="-5"/>
              </w:rPr>
              <w:t>分项名称</w:t>
            </w:r>
          </w:p>
        </w:tc>
        <w:tc>
          <w:tcPr>
            <w:tcW w:w="2166" w:type="dxa"/>
            <w:vAlign w:val="center"/>
          </w:tcPr>
          <w:p w14:paraId="3F198CC6">
            <w:pPr>
              <w:pStyle w:val="7"/>
              <w:spacing w:before="201" w:line="219" w:lineRule="auto"/>
              <w:ind w:left="773"/>
            </w:pPr>
            <w:r>
              <w:rPr>
                <w:b/>
                <w:bCs/>
                <w:spacing w:val="-5"/>
              </w:rPr>
              <w:t>具体内容</w:t>
            </w:r>
          </w:p>
        </w:tc>
        <w:tc>
          <w:tcPr>
            <w:tcW w:w="909" w:type="dxa"/>
            <w:vAlign w:val="center"/>
          </w:tcPr>
          <w:p w14:paraId="1AD816B1">
            <w:pPr>
              <w:pStyle w:val="7"/>
              <w:spacing w:before="200" w:line="220" w:lineRule="auto"/>
              <w:ind w:left="138"/>
            </w:pPr>
            <w:r>
              <w:rPr>
                <w:b/>
                <w:bCs/>
                <w:spacing w:val="-7"/>
              </w:rPr>
              <w:t>单位</w:t>
            </w:r>
          </w:p>
        </w:tc>
        <w:tc>
          <w:tcPr>
            <w:tcW w:w="664" w:type="dxa"/>
            <w:vAlign w:val="center"/>
          </w:tcPr>
          <w:p w14:paraId="7AC050BF">
            <w:pPr>
              <w:pStyle w:val="7"/>
              <w:spacing w:before="201" w:line="219" w:lineRule="auto"/>
              <w:ind w:left="136"/>
            </w:pPr>
            <w:r>
              <w:rPr>
                <w:b/>
                <w:bCs/>
                <w:spacing w:val="-7"/>
              </w:rPr>
              <w:t>数量</w:t>
            </w:r>
          </w:p>
        </w:tc>
        <w:tc>
          <w:tcPr>
            <w:tcW w:w="662" w:type="dxa"/>
            <w:textDirection w:val="tbRlV"/>
            <w:vAlign w:val="center"/>
          </w:tcPr>
          <w:p w14:paraId="61C04E5C">
            <w:pPr>
              <w:pStyle w:val="7"/>
              <w:spacing w:before="187" w:line="206" w:lineRule="auto"/>
              <w:ind w:left="200"/>
            </w:pPr>
            <w:r>
              <w:rPr>
                <w:b/>
                <w:bCs/>
                <w:spacing w:val="32"/>
              </w:rPr>
              <w:t>单价</w:t>
            </w:r>
          </w:p>
        </w:tc>
        <w:tc>
          <w:tcPr>
            <w:tcW w:w="1048" w:type="dxa"/>
            <w:vAlign w:val="center"/>
          </w:tcPr>
          <w:p w14:paraId="1C6A77B2">
            <w:pPr>
              <w:pStyle w:val="7"/>
              <w:spacing w:before="199" w:line="242" w:lineRule="auto"/>
              <w:ind w:left="76" w:right="35" w:hanging="24"/>
            </w:pPr>
            <w:r>
              <w:rPr>
                <w:b/>
                <w:bCs/>
                <w:spacing w:val="-4"/>
              </w:rPr>
              <w:t>合计（元</w:t>
            </w:r>
            <w:r>
              <w:t xml:space="preserve"> </w:t>
            </w:r>
            <w:r>
              <w:rPr>
                <w:b/>
                <w:bCs/>
                <w:spacing w:val="-3"/>
              </w:rPr>
              <w:t>)</w:t>
            </w:r>
          </w:p>
        </w:tc>
        <w:tc>
          <w:tcPr>
            <w:tcW w:w="1341" w:type="dxa"/>
            <w:vAlign w:val="center"/>
          </w:tcPr>
          <w:p w14:paraId="41FD601A">
            <w:pPr>
              <w:pStyle w:val="7"/>
              <w:spacing w:before="201" w:line="219" w:lineRule="auto"/>
              <w:ind w:left="276"/>
            </w:pPr>
            <w:r>
              <w:rPr>
                <w:b/>
                <w:bCs/>
                <w:spacing w:val="-9"/>
              </w:rPr>
              <w:t>说</w:t>
            </w:r>
            <w:r>
              <w:rPr>
                <w:spacing w:val="21"/>
              </w:rPr>
              <w:t xml:space="preserve">   </w:t>
            </w:r>
            <w:r>
              <w:rPr>
                <w:b/>
                <w:bCs/>
                <w:spacing w:val="-9"/>
              </w:rPr>
              <w:t>明</w:t>
            </w:r>
          </w:p>
        </w:tc>
      </w:tr>
      <w:tr w14:paraId="66793E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489" w:type="dxa"/>
            <w:vAlign w:val="center"/>
          </w:tcPr>
          <w:p w14:paraId="36777FAD">
            <w:pPr>
              <w:pStyle w:val="7"/>
              <w:spacing w:before="55" w:line="241" w:lineRule="auto"/>
              <w:ind w:left="136"/>
            </w:pPr>
            <w:r>
              <w:t>1</w:t>
            </w:r>
          </w:p>
        </w:tc>
        <w:tc>
          <w:tcPr>
            <w:tcW w:w="1706" w:type="dxa"/>
            <w:vAlign w:val="center"/>
          </w:tcPr>
          <w:p w14:paraId="25CEF13F">
            <w:pPr>
              <w:rPr>
                <w:rFonts w:ascii="Arial"/>
                <w:sz w:val="21"/>
              </w:rPr>
            </w:pPr>
          </w:p>
        </w:tc>
        <w:tc>
          <w:tcPr>
            <w:tcW w:w="2166" w:type="dxa"/>
            <w:vAlign w:val="center"/>
          </w:tcPr>
          <w:p w14:paraId="25E5CC7A"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center"/>
          </w:tcPr>
          <w:p w14:paraId="78B5F5C7">
            <w:pPr>
              <w:rPr>
                <w:rFonts w:ascii="Arial"/>
                <w:sz w:val="21"/>
              </w:rPr>
            </w:pPr>
          </w:p>
        </w:tc>
        <w:tc>
          <w:tcPr>
            <w:tcW w:w="664" w:type="dxa"/>
            <w:vAlign w:val="center"/>
          </w:tcPr>
          <w:p w14:paraId="2384863F">
            <w:pPr>
              <w:rPr>
                <w:rFonts w:ascii="Arial"/>
                <w:sz w:val="21"/>
              </w:rPr>
            </w:pPr>
          </w:p>
        </w:tc>
        <w:tc>
          <w:tcPr>
            <w:tcW w:w="662" w:type="dxa"/>
            <w:vAlign w:val="center"/>
          </w:tcPr>
          <w:p w14:paraId="065216F6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center"/>
          </w:tcPr>
          <w:p w14:paraId="5AC546C4">
            <w:pPr>
              <w:rPr>
                <w:rFonts w:ascii="Arial"/>
                <w:sz w:val="21"/>
              </w:rPr>
            </w:pPr>
          </w:p>
        </w:tc>
        <w:tc>
          <w:tcPr>
            <w:tcW w:w="1341" w:type="dxa"/>
            <w:vAlign w:val="center"/>
          </w:tcPr>
          <w:p w14:paraId="0BFF52E0">
            <w:pPr>
              <w:rPr>
                <w:rFonts w:ascii="Arial"/>
                <w:sz w:val="21"/>
              </w:rPr>
            </w:pPr>
          </w:p>
        </w:tc>
      </w:tr>
      <w:tr w14:paraId="341E08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489" w:type="dxa"/>
            <w:vAlign w:val="center"/>
          </w:tcPr>
          <w:p w14:paraId="282DFC2C">
            <w:pPr>
              <w:pStyle w:val="7"/>
              <w:spacing w:before="55" w:line="241" w:lineRule="auto"/>
              <w:ind w:left="122"/>
            </w:pPr>
            <w:r>
              <w:t>2</w:t>
            </w:r>
          </w:p>
        </w:tc>
        <w:tc>
          <w:tcPr>
            <w:tcW w:w="1706" w:type="dxa"/>
            <w:vAlign w:val="center"/>
          </w:tcPr>
          <w:p w14:paraId="1EC31037">
            <w:pPr>
              <w:rPr>
                <w:rFonts w:ascii="Arial"/>
                <w:sz w:val="21"/>
              </w:rPr>
            </w:pPr>
          </w:p>
        </w:tc>
        <w:tc>
          <w:tcPr>
            <w:tcW w:w="2166" w:type="dxa"/>
            <w:vAlign w:val="center"/>
          </w:tcPr>
          <w:p w14:paraId="07EB5499"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center"/>
          </w:tcPr>
          <w:p w14:paraId="5DBBFD70">
            <w:pPr>
              <w:rPr>
                <w:rFonts w:ascii="Arial"/>
                <w:sz w:val="21"/>
              </w:rPr>
            </w:pPr>
          </w:p>
        </w:tc>
        <w:tc>
          <w:tcPr>
            <w:tcW w:w="664" w:type="dxa"/>
            <w:vAlign w:val="center"/>
          </w:tcPr>
          <w:p w14:paraId="02313FD7">
            <w:pPr>
              <w:rPr>
                <w:rFonts w:ascii="Arial"/>
                <w:sz w:val="21"/>
              </w:rPr>
            </w:pPr>
          </w:p>
        </w:tc>
        <w:tc>
          <w:tcPr>
            <w:tcW w:w="662" w:type="dxa"/>
            <w:vAlign w:val="center"/>
          </w:tcPr>
          <w:p w14:paraId="6AB3B65A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center"/>
          </w:tcPr>
          <w:p w14:paraId="2327AF11">
            <w:pPr>
              <w:rPr>
                <w:rFonts w:ascii="Arial"/>
                <w:sz w:val="21"/>
              </w:rPr>
            </w:pPr>
          </w:p>
        </w:tc>
        <w:tc>
          <w:tcPr>
            <w:tcW w:w="1341" w:type="dxa"/>
            <w:vAlign w:val="center"/>
          </w:tcPr>
          <w:p w14:paraId="6E10F323">
            <w:pPr>
              <w:rPr>
                <w:rFonts w:ascii="Arial"/>
                <w:sz w:val="21"/>
              </w:rPr>
            </w:pPr>
          </w:p>
        </w:tc>
      </w:tr>
      <w:tr w14:paraId="29F8C9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489" w:type="dxa"/>
            <w:vAlign w:val="center"/>
          </w:tcPr>
          <w:p w14:paraId="530B023F">
            <w:pPr>
              <w:pStyle w:val="7"/>
              <w:spacing w:before="55" w:line="362" w:lineRule="exact"/>
              <w:ind w:left="134"/>
            </w:pPr>
            <w:r>
              <w:rPr>
                <w:position w:val="2"/>
              </w:rPr>
              <w:t>…</w:t>
            </w:r>
          </w:p>
        </w:tc>
        <w:tc>
          <w:tcPr>
            <w:tcW w:w="1706" w:type="dxa"/>
            <w:vAlign w:val="center"/>
          </w:tcPr>
          <w:p w14:paraId="1C81FEEC">
            <w:pPr>
              <w:rPr>
                <w:rFonts w:ascii="Arial"/>
                <w:sz w:val="21"/>
              </w:rPr>
            </w:pPr>
          </w:p>
        </w:tc>
        <w:tc>
          <w:tcPr>
            <w:tcW w:w="2166" w:type="dxa"/>
            <w:vAlign w:val="center"/>
          </w:tcPr>
          <w:p w14:paraId="74D4B0F4"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center"/>
          </w:tcPr>
          <w:p w14:paraId="1B520E0F">
            <w:pPr>
              <w:rPr>
                <w:rFonts w:ascii="Arial"/>
                <w:sz w:val="21"/>
              </w:rPr>
            </w:pPr>
          </w:p>
        </w:tc>
        <w:tc>
          <w:tcPr>
            <w:tcW w:w="664" w:type="dxa"/>
            <w:vAlign w:val="center"/>
          </w:tcPr>
          <w:p w14:paraId="1E802C63">
            <w:pPr>
              <w:rPr>
                <w:rFonts w:ascii="Arial"/>
                <w:sz w:val="21"/>
              </w:rPr>
            </w:pPr>
          </w:p>
        </w:tc>
        <w:tc>
          <w:tcPr>
            <w:tcW w:w="662" w:type="dxa"/>
            <w:vAlign w:val="center"/>
          </w:tcPr>
          <w:p w14:paraId="7E1288D8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center"/>
          </w:tcPr>
          <w:p w14:paraId="657AD886">
            <w:pPr>
              <w:rPr>
                <w:rFonts w:ascii="Arial"/>
                <w:sz w:val="21"/>
              </w:rPr>
            </w:pPr>
          </w:p>
        </w:tc>
        <w:tc>
          <w:tcPr>
            <w:tcW w:w="1341" w:type="dxa"/>
            <w:vAlign w:val="center"/>
          </w:tcPr>
          <w:p w14:paraId="09A8FED8">
            <w:pPr>
              <w:rPr>
                <w:rFonts w:ascii="Arial"/>
                <w:sz w:val="21"/>
              </w:rPr>
            </w:pPr>
          </w:p>
        </w:tc>
      </w:tr>
      <w:tr w14:paraId="73BEFC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4361" w:type="dxa"/>
            <w:gridSpan w:val="3"/>
            <w:vAlign w:val="center"/>
          </w:tcPr>
          <w:p w14:paraId="12289305">
            <w:pPr>
              <w:pStyle w:val="7"/>
              <w:spacing w:before="110" w:line="221" w:lineRule="auto"/>
              <w:ind w:left="1740"/>
            </w:pPr>
            <w:r>
              <w:rPr>
                <w:b/>
                <w:bCs/>
                <w:spacing w:val="-8"/>
              </w:rPr>
              <w:t>合</w:t>
            </w:r>
            <w:r>
              <w:rPr>
                <w:spacing w:val="5"/>
              </w:rPr>
              <w:t xml:space="preserve">    </w:t>
            </w:r>
            <w:r>
              <w:rPr>
                <w:b/>
                <w:bCs/>
                <w:spacing w:val="-8"/>
              </w:rPr>
              <w:t>计</w:t>
            </w:r>
          </w:p>
        </w:tc>
        <w:tc>
          <w:tcPr>
            <w:tcW w:w="2235" w:type="dxa"/>
            <w:gridSpan w:val="3"/>
            <w:vAlign w:val="center"/>
          </w:tcPr>
          <w:p w14:paraId="0FED0850">
            <w:pPr>
              <w:pStyle w:val="7"/>
              <w:spacing w:before="69" w:line="219" w:lineRule="auto"/>
              <w:ind w:left="138"/>
            </w:pPr>
            <w:r>
              <w:rPr>
                <w:b/>
                <w:bCs/>
                <w:spacing w:val="-10"/>
              </w:rPr>
              <w:t>数量合计：</w:t>
            </w:r>
          </w:p>
        </w:tc>
        <w:tc>
          <w:tcPr>
            <w:tcW w:w="2389" w:type="dxa"/>
            <w:gridSpan w:val="2"/>
            <w:vAlign w:val="center"/>
          </w:tcPr>
          <w:p w14:paraId="1146BD66">
            <w:pPr>
              <w:pStyle w:val="7"/>
              <w:spacing w:before="69" w:line="218" w:lineRule="auto"/>
              <w:ind w:left="136"/>
            </w:pPr>
            <w:r>
              <w:rPr>
                <w:b/>
                <w:bCs/>
                <w:spacing w:val="-2"/>
              </w:rPr>
              <w:t>报价合计：</w:t>
            </w:r>
            <w:r>
              <w:rPr>
                <w:spacing w:val="-2"/>
              </w:rPr>
              <w:t xml:space="preserve">   </w:t>
            </w:r>
            <w:r>
              <w:rPr>
                <w:b/>
                <w:bCs/>
                <w:spacing w:val="-2"/>
              </w:rPr>
              <w:t>元</w:t>
            </w:r>
          </w:p>
        </w:tc>
      </w:tr>
      <w:tr w14:paraId="143CA9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985" w:type="dxa"/>
            <w:gridSpan w:val="8"/>
            <w:vAlign w:val="center"/>
          </w:tcPr>
          <w:p w14:paraId="29C1FB43">
            <w:pPr>
              <w:pStyle w:val="7"/>
              <w:spacing w:before="120" w:line="218" w:lineRule="auto"/>
              <w:ind w:left="136"/>
            </w:pPr>
            <w:r>
              <w:rPr>
                <w:b/>
                <w:bCs/>
                <w:spacing w:val="6"/>
              </w:rPr>
              <w:t>三、投标总报价</w:t>
            </w:r>
            <w:r>
              <w:rPr>
                <w:b/>
                <w:bCs/>
                <w:spacing w:val="-57"/>
                <w:w w:val="89"/>
              </w:rPr>
              <w:t>：（</w:t>
            </w:r>
            <w:r>
              <w:rPr>
                <w:rFonts w:hint="eastAsia"/>
                <w:b/>
                <w:bCs/>
                <w:spacing w:val="-57"/>
                <w:w w:val="89"/>
                <w:lang w:val="en-US" w:eastAsia="zh-CN"/>
              </w:rPr>
              <w:t xml:space="preserve">      </w:t>
            </w:r>
            <w:r>
              <w:rPr>
                <w:b/>
                <w:bCs/>
                <w:spacing w:val="6"/>
              </w:rPr>
              <w:t>大写）人民币</w:t>
            </w:r>
            <w:r>
              <w:rPr>
                <w:spacing w:val="1"/>
              </w:rPr>
              <w:t xml:space="preserve">                </w:t>
            </w:r>
            <w:r>
              <w:rPr>
                <w:b/>
                <w:bCs/>
                <w:spacing w:val="6"/>
              </w:rPr>
              <w:t>元整(¥</w:t>
            </w:r>
            <w:r>
              <w:rPr>
                <w:spacing w:val="4"/>
              </w:rPr>
              <w:t xml:space="preserve">           </w:t>
            </w:r>
            <w:r>
              <w:rPr>
                <w:b/>
                <w:bCs/>
                <w:spacing w:val="6"/>
              </w:rPr>
              <w:t>)</w:t>
            </w:r>
          </w:p>
        </w:tc>
      </w:tr>
    </w:tbl>
    <w:p w14:paraId="0E9ABC63">
      <w:pPr>
        <w:rPr>
          <w:sz w:val="24"/>
          <w:szCs w:val="24"/>
        </w:rPr>
      </w:pPr>
      <w:r>
        <w:rPr>
          <w:sz w:val="24"/>
          <w:szCs w:val="24"/>
        </w:rPr>
        <w:t>注：1.总价应为各单项合计价之和。</w:t>
      </w:r>
    </w:p>
    <w:p w14:paraId="61C2542D">
      <w:pPr>
        <w:rPr>
          <w:sz w:val="24"/>
          <w:szCs w:val="24"/>
        </w:rPr>
      </w:pPr>
      <w:r>
        <w:rPr>
          <w:sz w:val="24"/>
          <w:szCs w:val="24"/>
        </w:rPr>
        <w:t>2.如果不提供详细分项报价将视为没有实质性响应招标文件。</w:t>
      </w:r>
    </w:p>
    <w:p w14:paraId="1DA20A87">
      <w:pPr>
        <w:rPr>
          <w:sz w:val="24"/>
          <w:szCs w:val="24"/>
        </w:rPr>
      </w:pPr>
      <w:r>
        <w:rPr>
          <w:sz w:val="24"/>
          <w:szCs w:val="24"/>
        </w:rPr>
        <w:t>3.总计价应等于“开标一览表”中的投标总价。</w:t>
      </w:r>
    </w:p>
    <w:p w14:paraId="0A1687C8">
      <w:pPr>
        <w:rPr>
          <w:sz w:val="24"/>
          <w:szCs w:val="24"/>
        </w:rPr>
      </w:pPr>
      <w:r>
        <w:rPr>
          <w:sz w:val="24"/>
          <w:szCs w:val="24"/>
        </w:rPr>
        <w:t>4.提交的投标文件电子文件中须保留本表 EXCEL 格式或 WORD 格式的可编辑文档格式文件。</w:t>
      </w:r>
    </w:p>
    <w:p w14:paraId="486C92F0">
      <w:pPr>
        <w:rPr>
          <w:sz w:val="24"/>
          <w:szCs w:val="24"/>
        </w:rPr>
      </w:pPr>
      <w:r>
        <w:rPr>
          <w:sz w:val="24"/>
          <w:szCs w:val="24"/>
        </w:rPr>
        <w:t>5. 在填写时，如本表格不适合投标人的实际情况，可根据本表格内容自行划表填写。</w:t>
      </w:r>
    </w:p>
    <w:p w14:paraId="481C4B1A">
      <w:pPr>
        <w:spacing w:line="289" w:lineRule="auto"/>
        <w:rPr>
          <w:rFonts w:ascii="Arial"/>
          <w:sz w:val="21"/>
        </w:rPr>
      </w:pPr>
    </w:p>
    <w:p w14:paraId="22F2DDE0">
      <w:pPr>
        <w:spacing w:line="289" w:lineRule="auto"/>
        <w:rPr>
          <w:rFonts w:ascii="Arial"/>
          <w:sz w:val="21"/>
        </w:rPr>
      </w:pPr>
    </w:p>
    <w:p w14:paraId="00823159">
      <w:pPr>
        <w:spacing w:line="289" w:lineRule="auto"/>
        <w:rPr>
          <w:rFonts w:ascii="Arial"/>
          <w:sz w:val="21"/>
        </w:rPr>
      </w:pPr>
    </w:p>
    <w:p w14:paraId="5283694D">
      <w:pPr>
        <w:spacing w:line="290" w:lineRule="auto"/>
        <w:rPr>
          <w:rFonts w:ascii="Arial"/>
          <w:sz w:val="21"/>
        </w:rPr>
      </w:pPr>
    </w:p>
    <w:p w14:paraId="01E337B8">
      <w:pPr>
        <w:pStyle w:val="2"/>
        <w:spacing w:before="78" w:line="219" w:lineRule="auto"/>
        <w:ind w:left="41"/>
      </w:pPr>
      <w:r>
        <w:rPr>
          <w:spacing w:val="-7"/>
        </w:rPr>
        <w:t>投标人代表签字：</w:t>
      </w:r>
    </w:p>
    <w:p w14:paraId="74613BA0">
      <w:pPr>
        <w:pStyle w:val="2"/>
        <w:spacing w:before="182" w:line="219" w:lineRule="auto"/>
        <w:ind w:left="41"/>
      </w:pPr>
      <w:r>
        <w:rPr>
          <w:spacing w:val="-12"/>
        </w:rPr>
        <w:t>投标人名称（盖单位公章</w:t>
      </w:r>
      <w:r>
        <w:rPr>
          <w:spacing w:val="-9"/>
        </w:rPr>
        <w:t>）：</w:t>
      </w:r>
    </w:p>
    <w:p w14:paraId="3A0B8FE2">
      <w:pPr>
        <w:pStyle w:val="2"/>
        <w:spacing w:before="249" w:line="219" w:lineRule="auto"/>
        <w:ind w:left="79"/>
      </w:pPr>
      <w:r>
        <w:rPr>
          <w:spacing w:val="-13"/>
        </w:rPr>
        <w:t>日期：</w:t>
      </w:r>
      <w:r>
        <w:rPr>
          <w:spacing w:val="3"/>
          <w:u w:val="single" w:color="auto"/>
        </w:rPr>
        <w:t xml:space="preserve">   </w:t>
      </w:r>
      <w:r>
        <w:rPr>
          <w:spacing w:val="-13"/>
          <w:u w:val="single" w:color="auto"/>
        </w:rPr>
        <w:t>年</w:t>
      </w:r>
      <w:r>
        <w:rPr>
          <w:spacing w:val="4"/>
          <w:u w:val="single" w:color="auto"/>
        </w:rPr>
        <w:t xml:space="preserve">    </w:t>
      </w:r>
      <w:r>
        <w:rPr>
          <w:spacing w:val="-13"/>
          <w:u w:val="single" w:color="auto"/>
        </w:rPr>
        <w:t>月</w:t>
      </w:r>
      <w:r>
        <w:rPr>
          <w:spacing w:val="12"/>
          <w:u w:val="single" w:color="auto"/>
        </w:rPr>
        <w:t xml:space="preserve">    </w:t>
      </w:r>
      <w:r>
        <w:rPr>
          <w:spacing w:val="-13"/>
          <w:u w:val="single" w:color="auto"/>
        </w:rPr>
        <w:t>日</w:t>
      </w:r>
    </w:p>
    <w:p w14:paraId="30F7039B">
      <w:pPr>
        <w:pStyle w:val="2"/>
        <w:rPr>
          <w:rFonts w:hint="eastAsia"/>
          <w:spacing w:val="4"/>
          <w:sz w:val="28"/>
          <w:szCs w:val="28"/>
          <w:u w:val="single" w:color="auto"/>
          <w:lang w:val="en-US" w:eastAsia="zh-CN"/>
        </w:rPr>
      </w:pPr>
    </w:p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2433E6">
    <w:pPr>
      <w:spacing w:before="70" w:line="177" w:lineRule="auto"/>
      <w:ind w:left="0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27CE6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LilsvdAgAAJAYAAA4AAABkcnMvZTJvRG9jLnhtbK1US27bMBDdF+gd&#10;CO4VSbbi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UuKWy9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27CE6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F28EB2">
    <w:pPr>
      <w:spacing w:before="70" w:line="177" w:lineRule="auto"/>
      <w:ind w:left="0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A5387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Ayd1Ld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DJ3Ut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A5387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16C564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708DCC"/>
    <w:multiLevelType w:val="singleLevel"/>
    <w:tmpl w:val="90708DCC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C6828D78"/>
    <w:multiLevelType w:val="singleLevel"/>
    <w:tmpl w:val="C6828D78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DB7D3E59"/>
    <w:multiLevelType w:val="singleLevel"/>
    <w:tmpl w:val="DB7D3E59"/>
    <w:lvl w:ilvl="0" w:tentative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487EDD4E"/>
    <w:multiLevelType w:val="singleLevel"/>
    <w:tmpl w:val="487EDD4E"/>
    <w:lvl w:ilvl="0" w:tentative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3276A"/>
    <w:rsid w:val="0671615A"/>
    <w:rsid w:val="22114191"/>
    <w:rsid w:val="282E59EC"/>
    <w:rsid w:val="3D3353CF"/>
    <w:rsid w:val="5A0F1650"/>
    <w:rsid w:val="6C71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711</Words>
  <Characters>853</Characters>
  <Lines>0</Lines>
  <Paragraphs>0</Paragraphs>
  <TotalTime>1</TotalTime>
  <ScaleCrop>false</ScaleCrop>
  <LinksUpToDate>false</LinksUpToDate>
  <CharactersWithSpaces>882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2026-07-20T09:38:00Z</dcterms:created>
  <dc:creator>1</dc:creator>
  <cp:lastModifiedBy>何超文</cp:lastModifiedBy>
  <dcterms:modified xsi:type="dcterms:W3CDTF">2026-07-21T01:27:33Z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eyJoZGlkIjoiYWEwZmY3YThhMzU3YmYwZmM1OTM1NmM4YWMyMjhhZjQiLCJ1c2VySWQiOiI0NDIwODY0NjUifQ==</vt:lpwstr>
  </property>
  <property fmtid="{D5CDD505-2E9C-101B-9397-08002B2CF9AE}" pid="4" name="ICV">
    <vt:lpwstr>F8A43AE9025B4F458985FD87D958CEE8_13</vt:lpwstr>
  </property>
</Properties>
</file>