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B6EBE">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bookmarkStart w:id="2" w:name="_GoBack"/>
      <w:bookmarkEnd w:id="2"/>
    </w:p>
    <w:p w14:paraId="2E345BBF">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29B0775E">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71E027D6">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3F654304">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2AC8B71D">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41E2C0ED">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0E3C3C23">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71259206">
      <w:pPr>
        <w:pStyle w:val="14"/>
        <w:spacing w:before="0" w:beforeAutospacing="0" w:after="0" w:afterAutospacing="0" w:line="360" w:lineRule="auto"/>
        <w:jc w:val="center"/>
        <w:rPr>
          <w:rFonts w:ascii="Times New Roman" w:hAnsi="Times New Roman" w:cs="Times New Roman" w:eastAsiaTheme="majorEastAsia"/>
          <w:b/>
          <w:bCs/>
          <w:color w:val="000000"/>
          <w:sz w:val="40"/>
          <w:szCs w:val="40"/>
          <w:highlight w:val="none"/>
        </w:rPr>
      </w:pPr>
      <w:r>
        <w:rPr>
          <w:rFonts w:ascii="Times New Roman" w:hAnsi="Times New Roman" w:cs="Times New Roman" w:eastAsiaTheme="majorEastAsia"/>
          <w:b/>
          <w:bCs/>
          <w:color w:val="000000"/>
          <w:sz w:val="40"/>
          <w:szCs w:val="40"/>
          <w:highlight w:val="none"/>
        </w:rPr>
        <w:t>广州医科大学附属第三医院</w:t>
      </w:r>
    </w:p>
    <w:p w14:paraId="495FDCC0">
      <w:pPr>
        <w:pStyle w:val="14"/>
        <w:spacing w:before="0" w:beforeAutospacing="0" w:after="0" w:afterAutospacing="0" w:line="360" w:lineRule="auto"/>
        <w:jc w:val="center"/>
        <w:rPr>
          <w:rFonts w:ascii="Times New Roman" w:hAnsi="Times New Roman" w:cs="Times New Roman" w:eastAsiaTheme="majorEastAsia"/>
          <w:b/>
          <w:bCs/>
          <w:color w:val="000000"/>
          <w:sz w:val="40"/>
          <w:szCs w:val="40"/>
          <w:highlight w:val="none"/>
        </w:rPr>
      </w:pPr>
      <w:r>
        <w:rPr>
          <w:rFonts w:hint="eastAsia" w:cs="宋体"/>
          <w:b/>
          <w:bCs/>
          <w:sz w:val="40"/>
          <w:szCs w:val="40"/>
          <w:highlight w:val="none"/>
          <w:lang w:val="en-US" w:eastAsia="zh-CN"/>
        </w:rPr>
        <w:t>远程</w:t>
      </w:r>
      <w:r>
        <w:rPr>
          <w:rFonts w:hint="eastAsia" w:ascii="宋体" w:hAnsi="宋体" w:eastAsia="宋体" w:cs="宋体"/>
          <w:b/>
          <w:bCs/>
          <w:sz w:val="40"/>
          <w:szCs w:val="40"/>
          <w:highlight w:val="none"/>
          <w:lang w:val="en-US" w:eastAsia="zh-CN"/>
        </w:rPr>
        <w:t>动态心电数据服务平台</w:t>
      </w:r>
      <w:r>
        <w:rPr>
          <w:rFonts w:ascii="Times New Roman" w:hAnsi="Times New Roman" w:cs="Times New Roman" w:eastAsiaTheme="majorEastAsia"/>
          <w:b/>
          <w:bCs/>
          <w:color w:val="000000"/>
          <w:sz w:val="40"/>
          <w:szCs w:val="40"/>
          <w:highlight w:val="none"/>
        </w:rPr>
        <w:t>项目</w:t>
      </w:r>
      <w:r>
        <w:rPr>
          <w:rFonts w:hint="eastAsia" w:ascii="Times New Roman" w:hAnsi="Times New Roman" w:cs="Times New Roman" w:eastAsiaTheme="majorEastAsia"/>
          <w:b/>
          <w:bCs/>
          <w:color w:val="000000"/>
          <w:sz w:val="40"/>
          <w:szCs w:val="40"/>
          <w:highlight w:val="none"/>
        </w:rPr>
        <w:t>采购</w:t>
      </w:r>
      <w:r>
        <w:rPr>
          <w:rFonts w:ascii="Times New Roman" w:hAnsi="Times New Roman" w:cs="Times New Roman" w:eastAsiaTheme="majorEastAsia"/>
          <w:b/>
          <w:bCs/>
          <w:color w:val="000000"/>
          <w:sz w:val="40"/>
          <w:szCs w:val="40"/>
          <w:highlight w:val="none"/>
        </w:rPr>
        <w:t>文件</w:t>
      </w:r>
    </w:p>
    <w:p w14:paraId="7DA4933A">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2DB12456">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7FCBD247">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494EE23B">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7249D5C3">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159A7C00">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6293BDAD">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0BBD72E8">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p>
    <w:p w14:paraId="58E08018">
      <w:pPr>
        <w:pStyle w:val="14"/>
        <w:spacing w:before="0" w:beforeAutospacing="0" w:after="0" w:afterAutospacing="0" w:line="360" w:lineRule="auto"/>
        <w:jc w:val="center"/>
        <w:rPr>
          <w:rFonts w:ascii="Times New Roman" w:hAnsi="Times New Roman" w:cs="Times New Roman" w:eastAsiaTheme="majorEastAsia"/>
          <w:b/>
          <w:bCs/>
          <w:color w:val="000000"/>
          <w:sz w:val="32"/>
          <w:szCs w:val="32"/>
          <w:highlight w:val="none"/>
        </w:rPr>
      </w:pPr>
      <w:r>
        <w:rPr>
          <w:rFonts w:hint="eastAsia" w:ascii="Times New Roman" w:hAnsi="Times New Roman" w:cs="Times New Roman" w:eastAsiaTheme="majorEastAsia"/>
          <w:b/>
          <w:bCs/>
          <w:color w:val="000000"/>
          <w:sz w:val="32"/>
          <w:szCs w:val="32"/>
          <w:highlight w:val="none"/>
        </w:rPr>
        <w:t>2</w:t>
      </w:r>
      <w:r>
        <w:rPr>
          <w:rFonts w:ascii="Times New Roman" w:hAnsi="Times New Roman" w:cs="Times New Roman" w:eastAsiaTheme="majorEastAsia"/>
          <w:b/>
          <w:bCs/>
          <w:color w:val="000000"/>
          <w:sz w:val="32"/>
          <w:szCs w:val="32"/>
          <w:highlight w:val="none"/>
        </w:rPr>
        <w:t>02</w:t>
      </w:r>
      <w:r>
        <w:rPr>
          <w:rFonts w:hint="eastAsia" w:ascii="Times New Roman" w:hAnsi="Times New Roman" w:cs="Times New Roman" w:eastAsiaTheme="majorEastAsia"/>
          <w:b/>
          <w:bCs/>
          <w:color w:val="000000"/>
          <w:sz w:val="32"/>
          <w:szCs w:val="32"/>
          <w:highlight w:val="none"/>
          <w:lang w:val="en-US" w:eastAsia="zh-CN"/>
        </w:rPr>
        <w:t>6</w:t>
      </w:r>
      <w:r>
        <w:rPr>
          <w:rFonts w:hint="eastAsia" w:ascii="Times New Roman" w:hAnsi="Times New Roman" w:cs="Times New Roman" w:eastAsiaTheme="majorEastAsia"/>
          <w:b/>
          <w:bCs/>
          <w:color w:val="000000"/>
          <w:sz w:val="32"/>
          <w:szCs w:val="32"/>
          <w:highlight w:val="none"/>
        </w:rPr>
        <w:t>年</w:t>
      </w:r>
      <w:r>
        <w:rPr>
          <w:rFonts w:hint="eastAsia" w:ascii="Times New Roman" w:hAnsi="Times New Roman" w:cs="Times New Roman" w:eastAsiaTheme="majorEastAsia"/>
          <w:b/>
          <w:bCs/>
          <w:color w:val="000000"/>
          <w:sz w:val="32"/>
          <w:szCs w:val="32"/>
          <w:highlight w:val="none"/>
          <w:lang w:val="en-US" w:eastAsia="zh-CN"/>
        </w:rPr>
        <w:t>6</w:t>
      </w:r>
      <w:r>
        <w:rPr>
          <w:rFonts w:hint="eastAsia" w:ascii="Times New Roman" w:hAnsi="Times New Roman" w:cs="Times New Roman" w:eastAsiaTheme="majorEastAsia"/>
          <w:b/>
          <w:bCs/>
          <w:color w:val="000000"/>
          <w:sz w:val="32"/>
          <w:szCs w:val="32"/>
          <w:highlight w:val="none"/>
        </w:rPr>
        <w:t>月</w:t>
      </w:r>
    </w:p>
    <w:p w14:paraId="379F084A">
      <w:pPr>
        <w:pStyle w:val="14"/>
        <w:spacing w:before="0" w:beforeAutospacing="0" w:after="0" w:afterAutospacing="0" w:line="360" w:lineRule="auto"/>
        <w:rPr>
          <w:rFonts w:ascii="Times New Roman" w:hAnsi="Times New Roman" w:cs="Times New Roman" w:eastAsiaTheme="majorEastAsia"/>
          <w:b/>
          <w:bCs/>
          <w:color w:val="000000"/>
          <w:sz w:val="32"/>
          <w:szCs w:val="32"/>
          <w:highlight w:val="none"/>
        </w:rPr>
      </w:pPr>
      <w:r>
        <w:rPr>
          <w:rFonts w:ascii="Times New Roman" w:hAnsi="Times New Roman" w:cs="Times New Roman" w:eastAsiaTheme="majorEastAsia"/>
          <w:b/>
          <w:bCs/>
          <w:color w:val="000000"/>
          <w:sz w:val="32"/>
          <w:szCs w:val="32"/>
          <w:highlight w:val="none"/>
        </w:rPr>
        <w:br w:type="page"/>
      </w:r>
    </w:p>
    <w:p w14:paraId="6B0DC41D">
      <w:pPr>
        <w:pStyle w:val="14"/>
        <w:spacing w:before="0" w:beforeAutospacing="0" w:after="0" w:afterAutospacing="0" w:line="360" w:lineRule="auto"/>
        <w:rPr>
          <w:rFonts w:ascii="Times New Roman" w:hAnsi="Times New Roman" w:cs="Times New Roman" w:eastAsiaTheme="majorEastAsia"/>
          <w:b/>
          <w:bCs/>
          <w:color w:val="000000"/>
          <w:sz w:val="32"/>
          <w:szCs w:val="32"/>
          <w:highlight w:val="none"/>
        </w:rPr>
      </w:pPr>
    </w:p>
    <w:p w14:paraId="0A298672">
      <w:pPr>
        <w:pStyle w:val="14"/>
        <w:spacing w:before="0" w:beforeAutospacing="0" w:after="0" w:afterAutospacing="0" w:line="360" w:lineRule="auto"/>
        <w:ind w:firstLine="420"/>
        <w:jc w:val="center"/>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第一章 投标邀请</w:t>
      </w:r>
    </w:p>
    <w:p w14:paraId="76178B44">
      <w:pPr>
        <w:pStyle w:val="14"/>
        <w:spacing w:before="0" w:beforeAutospacing="0" w:after="0" w:afterAutospacing="0" w:line="360" w:lineRule="auto"/>
        <w:ind w:firstLine="420"/>
        <w:jc w:val="both"/>
        <w:rPr>
          <w:rFonts w:ascii="Times New Roman" w:hAnsi="Times New Roman" w:cs="Times New Roman"/>
          <w:color w:val="FF0000"/>
          <w:sz w:val="21"/>
          <w:szCs w:val="21"/>
          <w:highlight w:val="none"/>
        </w:rPr>
      </w:pPr>
      <w:r>
        <w:rPr>
          <w:rFonts w:ascii="Times New Roman" w:hAnsi="Times New Roman" w:cs="Times New Roman"/>
          <w:color w:val="auto"/>
          <w:sz w:val="21"/>
          <w:szCs w:val="21"/>
          <w:highlight w:val="none"/>
        </w:rPr>
        <w:t>广州医科大学附属第三医院拟与遴选</w:t>
      </w:r>
      <w:r>
        <w:rPr>
          <w:rFonts w:ascii="宋体" w:hAnsi="宋体" w:eastAsia="宋体" w:cs="宋体"/>
          <w:color w:val="auto"/>
          <w:sz w:val="21"/>
          <w:szCs w:val="21"/>
          <w:highlight w:val="none"/>
        </w:rPr>
        <w:t>合格的第三方服务机构，为我院提供远程心电数据服务平台建设、运营及配套技术服务，以深入落实国家医疗信息化政策，提升临床诊疗效率与患者就医体验</w:t>
      </w:r>
      <w:r>
        <w:rPr>
          <w:rFonts w:ascii="Times New Roman" w:hAnsi="Times New Roman" w:cs="Times New Roman"/>
          <w:color w:val="auto"/>
          <w:sz w:val="21"/>
          <w:szCs w:val="21"/>
          <w:highlight w:val="none"/>
        </w:rPr>
        <w:t>。</w:t>
      </w:r>
    </w:p>
    <w:p w14:paraId="0046B754">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一、项目概述</w:t>
      </w:r>
    </w:p>
    <w:p w14:paraId="33F3BC4D">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1、名称</w:t>
      </w:r>
    </w:p>
    <w:p w14:paraId="288BA4F3">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项目名称：广州医科大学附属第三医院远程心电数据服务平台采购项目</w:t>
      </w:r>
    </w:p>
    <w:p w14:paraId="1043D160">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采购方式：</w:t>
      </w:r>
      <w:r>
        <w:rPr>
          <w:rFonts w:hint="eastAsia" w:ascii="Times New Roman" w:hAnsi="Times New Roman" w:cs="Times New Roman"/>
          <w:color w:val="auto"/>
          <w:sz w:val="21"/>
          <w:szCs w:val="21"/>
          <w:highlight w:val="none"/>
        </w:rPr>
        <w:t>院内公开招标</w:t>
      </w:r>
    </w:p>
    <w:p w14:paraId="14C41436">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rPr>
        <w:t>预算：</w:t>
      </w:r>
      <w:r>
        <w:rPr>
          <w:rFonts w:hint="eastAsia" w:ascii="Times New Roman" w:hAnsi="Times New Roman" w:cs="Times New Roman"/>
          <w:color w:val="auto"/>
          <w:sz w:val="21"/>
          <w:szCs w:val="21"/>
          <w:highlight w:val="none"/>
          <w:lang w:val="en-US" w:eastAsia="zh-CN"/>
        </w:rPr>
        <w:t>80万元/年（动态心电服务的收费模式为按次收费，单次报价不高于190元/例）</w:t>
      </w:r>
    </w:p>
    <w:p w14:paraId="41482845">
      <w:pPr>
        <w:pStyle w:val="11"/>
        <w:keepNext w:val="0"/>
        <w:keepLines w:val="0"/>
        <w:pageBreakBefore w:val="0"/>
        <w:kinsoku/>
        <w:wordWrap/>
        <w:overflowPunct/>
        <w:topLinePunct w:val="0"/>
        <w:autoSpaceDE/>
        <w:autoSpaceDN/>
        <w:bidi w:val="0"/>
        <w:adjustRightInd/>
        <w:ind w:firstLine="380" w:firstLineChars="200"/>
        <w:textAlignment w:val="auto"/>
        <w:rPr>
          <w:sz w:val="19"/>
          <w:szCs w:val="19"/>
          <w:highlight w:val="none"/>
        </w:rPr>
      </w:pPr>
    </w:p>
    <w:p w14:paraId="083DB1F1">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2、项目内容及需求情况：</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3750"/>
        <w:gridCol w:w="1912"/>
        <w:gridCol w:w="2410"/>
      </w:tblGrid>
      <w:tr w14:paraId="1AD4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0" w:type="dxa"/>
            <w:shd w:val="clear" w:color="auto" w:fill="F1F1F1" w:themeFill="background1" w:themeFillShade="F2"/>
            <w:vAlign w:val="center"/>
          </w:tcPr>
          <w:p w14:paraId="41E019FB">
            <w:pPr>
              <w:autoSpaceDE w:val="0"/>
              <w:autoSpaceDN w:val="0"/>
              <w:adjustRightInd w:val="0"/>
              <w:jc w:val="center"/>
              <w:rPr>
                <w:rFonts w:ascii="Times New Roman" w:hAnsi="Times New Roman" w:eastAsia="宋体" w:cs="Times New Roman"/>
                <w:b/>
                <w:bCs/>
                <w:color w:val="auto"/>
                <w:kern w:val="0"/>
                <w:sz w:val="21"/>
                <w:szCs w:val="21"/>
                <w:highlight w:val="none"/>
                <w:lang w:val="en-US" w:eastAsia="zh-CN" w:bidi="ar-SA"/>
              </w:rPr>
            </w:pPr>
            <w:r>
              <w:rPr>
                <w:rFonts w:ascii="Times New Roman" w:hAnsi="Times New Roman" w:eastAsia="宋体" w:cs="Times New Roman"/>
                <w:b/>
                <w:bCs/>
                <w:color w:val="auto"/>
                <w:kern w:val="0"/>
                <w:sz w:val="21"/>
                <w:szCs w:val="21"/>
                <w:highlight w:val="none"/>
                <w:lang w:val="en-US" w:eastAsia="zh-CN" w:bidi="ar-SA"/>
              </w:rPr>
              <w:t>序号</w:t>
            </w:r>
          </w:p>
        </w:tc>
        <w:tc>
          <w:tcPr>
            <w:tcW w:w="3750" w:type="dxa"/>
            <w:shd w:val="clear" w:color="auto" w:fill="F1F1F1" w:themeFill="background1" w:themeFillShade="F2"/>
            <w:vAlign w:val="center"/>
          </w:tcPr>
          <w:p w14:paraId="4D518B33">
            <w:pPr>
              <w:autoSpaceDE w:val="0"/>
              <w:autoSpaceDN w:val="0"/>
              <w:adjustRightInd w:val="0"/>
              <w:jc w:val="center"/>
              <w:rPr>
                <w:rFonts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项目名称</w:t>
            </w:r>
          </w:p>
        </w:tc>
        <w:tc>
          <w:tcPr>
            <w:tcW w:w="1912" w:type="dxa"/>
            <w:shd w:val="clear" w:color="auto" w:fill="F1F1F1" w:themeFill="background1" w:themeFillShade="F2"/>
            <w:vAlign w:val="center"/>
          </w:tcPr>
          <w:p w14:paraId="4C55F546">
            <w:pPr>
              <w:autoSpaceDE w:val="0"/>
              <w:autoSpaceDN w:val="0"/>
              <w:adjustRightInd w:val="0"/>
              <w:jc w:val="center"/>
              <w:rPr>
                <w:rFonts w:ascii="Times New Roman" w:hAnsi="Times New Roman" w:eastAsia="宋体" w:cs="Times New Roman"/>
                <w:b/>
                <w:bCs/>
                <w:color w:val="auto"/>
                <w:kern w:val="0"/>
                <w:sz w:val="21"/>
                <w:szCs w:val="21"/>
                <w:highlight w:val="none"/>
                <w:lang w:val="en-US" w:eastAsia="zh-CN" w:bidi="ar-SA"/>
              </w:rPr>
            </w:pPr>
            <w:r>
              <w:rPr>
                <w:rFonts w:ascii="Times New Roman" w:hAnsi="Times New Roman" w:eastAsia="宋体" w:cs="Times New Roman"/>
                <w:b/>
                <w:bCs/>
                <w:color w:val="auto"/>
                <w:kern w:val="0"/>
                <w:sz w:val="21"/>
                <w:szCs w:val="21"/>
                <w:highlight w:val="none"/>
                <w:lang w:val="en-US" w:eastAsia="zh-CN" w:bidi="ar-SA"/>
              </w:rPr>
              <w:t>数量（单位）</w:t>
            </w:r>
          </w:p>
        </w:tc>
        <w:tc>
          <w:tcPr>
            <w:tcW w:w="2410" w:type="dxa"/>
            <w:shd w:val="clear" w:color="auto" w:fill="F1F1F1" w:themeFill="background1" w:themeFillShade="F2"/>
            <w:vAlign w:val="center"/>
          </w:tcPr>
          <w:p w14:paraId="18AF5ECA">
            <w:pPr>
              <w:autoSpaceDE w:val="0"/>
              <w:autoSpaceDN w:val="0"/>
              <w:adjustRightInd w:val="0"/>
              <w:jc w:val="center"/>
              <w:rPr>
                <w:rFonts w:ascii="Times New Roman" w:hAnsi="Times New Roman" w:eastAsia="宋体" w:cs="Times New Roman"/>
                <w:b/>
                <w:bCs/>
                <w:color w:val="auto"/>
                <w:kern w:val="0"/>
                <w:sz w:val="21"/>
                <w:szCs w:val="21"/>
                <w:highlight w:val="none"/>
                <w:lang w:val="en-US" w:eastAsia="zh-CN" w:bidi="ar-SA"/>
              </w:rPr>
            </w:pPr>
            <w:r>
              <w:rPr>
                <w:rFonts w:ascii="Times New Roman" w:hAnsi="Times New Roman" w:eastAsia="宋体" w:cs="Times New Roman"/>
                <w:b/>
                <w:bCs/>
                <w:color w:val="auto"/>
                <w:kern w:val="0"/>
                <w:sz w:val="21"/>
                <w:szCs w:val="21"/>
                <w:highlight w:val="none"/>
                <w:lang w:val="en-US" w:eastAsia="zh-CN" w:bidi="ar-SA"/>
              </w:rPr>
              <w:t>技术规格、参数及要求</w:t>
            </w:r>
          </w:p>
        </w:tc>
      </w:tr>
      <w:tr w14:paraId="3891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00" w:type="dxa"/>
            <w:vAlign w:val="center"/>
          </w:tcPr>
          <w:p w14:paraId="5A14C889">
            <w:pPr>
              <w:autoSpaceDE w:val="0"/>
              <w:autoSpaceDN w:val="0"/>
              <w:adjustRightInd w:val="0"/>
              <w:ind w:left="102"/>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w:t>
            </w:r>
          </w:p>
        </w:tc>
        <w:tc>
          <w:tcPr>
            <w:tcW w:w="3750" w:type="dxa"/>
            <w:vAlign w:val="center"/>
          </w:tcPr>
          <w:p w14:paraId="6A5E1E96">
            <w:pPr>
              <w:autoSpaceDE w:val="0"/>
              <w:autoSpaceDN w:val="0"/>
              <w:adjustRightInd w:val="0"/>
              <w:ind w:left="102"/>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远程心电数据服务平台服务项目</w:t>
            </w:r>
          </w:p>
        </w:tc>
        <w:tc>
          <w:tcPr>
            <w:tcW w:w="1912" w:type="dxa"/>
            <w:vAlign w:val="center"/>
          </w:tcPr>
          <w:p w14:paraId="37C85322">
            <w:pPr>
              <w:autoSpaceDE w:val="0"/>
              <w:autoSpaceDN w:val="0"/>
              <w:adjustRightInd w:val="0"/>
              <w:ind w:left="102"/>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1项</w:t>
            </w:r>
          </w:p>
        </w:tc>
        <w:tc>
          <w:tcPr>
            <w:tcW w:w="2410" w:type="dxa"/>
            <w:vAlign w:val="center"/>
          </w:tcPr>
          <w:p w14:paraId="1B2A15BF">
            <w:pPr>
              <w:autoSpaceDE w:val="0"/>
              <w:autoSpaceDN w:val="0"/>
              <w:adjustRightInd w:val="0"/>
              <w:ind w:left="102"/>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详见第二章</w:t>
            </w:r>
          </w:p>
        </w:tc>
      </w:tr>
    </w:tbl>
    <w:p w14:paraId="2E637A61">
      <w:pPr>
        <w:pStyle w:val="11"/>
        <w:rPr>
          <w:sz w:val="19"/>
          <w:szCs w:val="19"/>
          <w:highlight w:val="none"/>
        </w:rPr>
      </w:pPr>
    </w:p>
    <w:p w14:paraId="395A983B">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二、投标人资质要求</w:t>
      </w:r>
    </w:p>
    <w:p w14:paraId="638EE3BA">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1、报名人应具备以下条件：</w:t>
      </w:r>
    </w:p>
    <w:p w14:paraId="7BC33DAB">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（1）具有良好的商业信誉和健全的财务会计制度：提供202</w:t>
      </w:r>
      <w:r>
        <w:rPr>
          <w:rFonts w:hint="eastAsia" w:ascii="Times New Roman" w:hAnsi="Times New Roman" w:cs="Times New Roman"/>
          <w:color w:val="auto"/>
          <w:sz w:val="21"/>
          <w:szCs w:val="21"/>
          <w:highlight w:val="none"/>
          <w:lang w:val="en-US" w:eastAsia="zh-CN"/>
        </w:rPr>
        <w:t>4</w:t>
      </w:r>
      <w:r>
        <w:rPr>
          <w:rFonts w:ascii="Times New Roman" w:hAnsi="Times New Roman" w:cs="Times New Roman"/>
          <w:color w:val="auto"/>
          <w:sz w:val="21"/>
          <w:szCs w:val="21"/>
          <w:highlight w:val="none"/>
        </w:rPr>
        <w:t>年至202</w:t>
      </w:r>
      <w:r>
        <w:rPr>
          <w:rFonts w:hint="eastAsia" w:ascii="Times New Roman" w:hAnsi="Times New Roman" w:cs="Times New Roman"/>
          <w:color w:val="auto"/>
          <w:sz w:val="21"/>
          <w:szCs w:val="21"/>
          <w:highlight w:val="none"/>
          <w:lang w:val="en-US" w:eastAsia="zh-CN"/>
        </w:rPr>
        <w:t>5</w:t>
      </w:r>
      <w:r>
        <w:rPr>
          <w:rFonts w:ascii="Times New Roman" w:hAnsi="Times New Roman" w:cs="Times New Roman"/>
          <w:color w:val="auto"/>
          <w:sz w:val="21"/>
          <w:szCs w:val="21"/>
          <w:highlight w:val="none"/>
        </w:rPr>
        <w:t>年度内任意一年的年度财务状况报告或年度财务报表(新成立公司提供成立至今的月或季度财务报表复印件)或基本开户行出具的资信证明，证明材料加盖公章。</w:t>
      </w:r>
    </w:p>
    <w:p w14:paraId="0C21C6EE">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有依法缴纳税收和社会保障资金的良好记录：提供至报名截止时间前6个月内任意一个月缴纳社会保险凭据及由税收部门开具的缴纳税收证明（如依法免税或不需要缴纳社会保险的，提供相应证明材料），证明材料加盖公章。</w:t>
      </w:r>
    </w:p>
    <w:p w14:paraId="06D94B0B">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（3）参加我院公开采购活动前三年内，在经营活动中没有重大违法记录。（报名人出具有效的承诺函并加盖公章）</w:t>
      </w:r>
    </w:p>
    <w:p w14:paraId="59208969">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被“信用中国”网站列入失信被执行人和重大税收违法案件当事人名单的、被“中国政府采购网”网站列入政府采购严重违法失信行为记录名单（处罚期限尚未届满的）的供应商，不得参与本项目的采购活动。（提供在“信用中国”网站（www.creditchina.gov.cn）及中国政府采购网(www.ccgp.gov.cn)的查询结果并加盖公章，如相关失信记录已失效，报名人需提供相关证明资料）。</w:t>
      </w:r>
    </w:p>
    <w:p w14:paraId="5044659F">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3、单位负责人为同一人或者存在直接控股、管理关系的不同供应商，不得同时参加本采购项目的响应。(响应人出具有效的声明函加盖公章)</w:t>
      </w:r>
    </w:p>
    <w:p w14:paraId="6AFB74DA">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报名人必须是具有独立承担民事责任能力的在中华人民共和国境内注册的法人或其他组织或自然人。提供有效的营业执照（或事业法人登记证或身份证等相关证明）副本复印件，如非“三证合一”证照，同时提供税务登记证副本复印件,加盖公章；如为分公司报名，必须提供总公司的营业执照副本复印件及总公司针对本项目响应的授权书原件；如报名人为自然人的需提供自然人身份证明。</w:t>
      </w:r>
    </w:p>
    <w:p w14:paraId="4BBEC535">
      <w:pPr>
        <w:pStyle w:val="14"/>
        <w:keepNext w:val="0"/>
        <w:keepLines w:val="0"/>
        <w:pageBreakBefore w:val="0"/>
        <w:kinsoku/>
        <w:wordWrap/>
        <w:overflowPunct/>
        <w:topLinePunct w:val="0"/>
        <w:autoSpaceDE/>
        <w:autoSpaceDN/>
        <w:bidi w:val="0"/>
        <w:adjustRightInd/>
        <w:spacing w:before="0" w:beforeAutospacing="0" w:after="0" w:afterAutospacing="0" w:line="360" w:lineRule="auto"/>
        <w:ind w:firstLine="420" w:firstLineChars="200"/>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5、本项目不接受联合体报名，不得分包、转包。（响应人出具有效的声明函并加盖公章）</w:t>
      </w:r>
    </w:p>
    <w:p w14:paraId="6A2D50BB">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三、获取招标文件</w:t>
      </w:r>
    </w:p>
    <w:p w14:paraId="4D19E98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招标公告发布日起，通过广州医科大学附属第三医院网站（https://www.gy3y.com/）自行下载获取。</w:t>
      </w:r>
    </w:p>
    <w:p w14:paraId="2311EEEF">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四、提交投标文件截止时间、开标时间和地点：</w:t>
      </w:r>
    </w:p>
    <w:p w14:paraId="1880253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（一）递交截止时间：2026年7月2 日12:00，仅受理纸质响应文件，纸质材料一式五份（正本1份/副本4份），密封完好；</w:t>
      </w:r>
    </w:p>
    <w:p w14:paraId="146A1AE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（二）开标时间地点：</w:t>
      </w:r>
      <w:r>
        <w:rPr>
          <w:rFonts w:hint="eastAsia" w:ascii="宋体" w:hAnsi="宋体" w:eastAsia="宋体" w:cs="宋体"/>
          <w:color w:val="000000"/>
          <w:kern w:val="2"/>
          <w:sz w:val="21"/>
          <w:szCs w:val="21"/>
          <w:highlight w:val="none"/>
        </w:rPr>
        <w:t>院内评标会时间地点院方自定，投标人无需参加。</w:t>
      </w:r>
    </w:p>
    <w:p w14:paraId="0720FFA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（三）递交地点：广州市荔湾区多宝路63号行政楼301办公室。（不接收快递）。</w:t>
      </w:r>
    </w:p>
    <w:p w14:paraId="041CE051">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五、公告期限</w:t>
      </w:r>
    </w:p>
    <w:p w14:paraId="0468660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自本公告发布之日起10个日历天。自2026年6月22日起至2026年7月2日12:00止。</w:t>
      </w:r>
    </w:p>
    <w:p w14:paraId="5B0E4FE1">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ascii="Times New Roman" w:hAnsi="Times New Roman" w:eastAsia="宋体" w:cs="Times New Roman"/>
          <w:b/>
          <w:bCs/>
          <w:color w:val="000000"/>
          <w:kern w:val="0"/>
          <w:sz w:val="24"/>
          <w:szCs w:val="24"/>
          <w:highlight w:val="none"/>
        </w:rPr>
        <w:t>六、本项目联系方式：</w:t>
      </w:r>
    </w:p>
    <w:p w14:paraId="4F1B604D">
      <w:pPr>
        <w:pStyle w:val="11"/>
        <w:rPr>
          <w:rFonts w:ascii="Times New Roman" w:hAnsi="Times New Roman" w:cs="Times New Roman"/>
          <w:color w:val="000000"/>
          <w:sz w:val="19"/>
          <w:szCs w:val="22"/>
          <w:highlight w:val="none"/>
        </w:rPr>
      </w:pPr>
    </w:p>
    <w:p w14:paraId="684A4396">
      <w:pPr>
        <w:spacing w:line="339" w:lineRule="exact"/>
        <w:ind w:firstLine="420"/>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1.采购人信息</w:t>
      </w:r>
    </w:p>
    <w:p w14:paraId="040FB4A0">
      <w:pPr>
        <w:spacing w:line="339" w:lineRule="exact"/>
        <w:ind w:firstLine="420"/>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名称：广州医科大学附属第三医院</w:t>
      </w:r>
    </w:p>
    <w:p w14:paraId="69911D83">
      <w:pPr>
        <w:spacing w:line="339" w:lineRule="exact"/>
        <w:ind w:firstLine="420"/>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地址：广州市荔湾区多宝路63号</w:t>
      </w:r>
    </w:p>
    <w:p w14:paraId="7F261E0D">
      <w:pPr>
        <w:spacing w:line="339" w:lineRule="exact"/>
        <w:ind w:firstLine="420"/>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联系方式：</w:t>
      </w:r>
      <w:r>
        <w:rPr>
          <w:rFonts w:hint="eastAsia" w:ascii="Times New Roman" w:hAnsi="Times New Roman" w:eastAsia="宋体" w:cs="Times New Roman"/>
          <w:color w:val="auto"/>
          <w:kern w:val="0"/>
          <w:sz w:val="21"/>
          <w:szCs w:val="21"/>
          <w:highlight w:val="none"/>
          <w:lang w:val="en-US" w:eastAsia="zh-CN" w:bidi="ar-SA"/>
        </w:rPr>
        <w:t xml:space="preserve">冉老师 </w:t>
      </w:r>
      <w:r>
        <w:rPr>
          <w:rFonts w:ascii="Times New Roman" w:hAnsi="Times New Roman" w:eastAsia="宋体" w:cs="Times New Roman"/>
          <w:color w:val="auto"/>
          <w:kern w:val="0"/>
          <w:sz w:val="21"/>
          <w:szCs w:val="21"/>
          <w:highlight w:val="none"/>
          <w:lang w:val="en-US" w:eastAsia="zh-CN" w:bidi="ar-SA"/>
        </w:rPr>
        <w:t>020-81292617</w:t>
      </w:r>
    </w:p>
    <w:p w14:paraId="745BD567">
      <w:pPr>
        <w:pStyle w:val="11"/>
        <w:rPr>
          <w:rFonts w:ascii="Times New Roman" w:hAnsi="Times New Roman" w:cs="Times New Roman"/>
          <w:color w:val="000000"/>
          <w:sz w:val="19"/>
          <w:szCs w:val="22"/>
          <w:highlight w:val="none"/>
        </w:rPr>
      </w:pPr>
      <w:r>
        <w:rPr>
          <w:rFonts w:ascii="Times New Roman" w:hAnsi="Times New Roman" w:cs="Times New Roman"/>
          <w:color w:val="000000"/>
          <w:sz w:val="19"/>
          <w:szCs w:val="22"/>
          <w:highlight w:val="none"/>
        </w:rPr>
        <w:br w:type="page"/>
      </w:r>
    </w:p>
    <w:p w14:paraId="0216B3DA">
      <w:pPr>
        <w:pStyle w:val="14"/>
        <w:spacing w:before="0" w:beforeAutospacing="0" w:after="0" w:afterAutospacing="0" w:line="360" w:lineRule="auto"/>
        <w:ind w:firstLine="420"/>
        <w:jc w:val="center"/>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第二章 采购需求</w:t>
      </w:r>
    </w:p>
    <w:p w14:paraId="3BFE672C">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一</w:t>
      </w:r>
      <w:r>
        <w:rPr>
          <w:rFonts w:ascii="Times New Roman" w:hAnsi="Times New Roman" w:eastAsia="宋体" w:cs="Times New Roman"/>
          <w:b/>
          <w:bCs/>
          <w:color w:val="000000"/>
          <w:kern w:val="0"/>
          <w:sz w:val="24"/>
          <w:szCs w:val="24"/>
          <w:highlight w:val="none"/>
        </w:rPr>
        <w:t>、</w:t>
      </w:r>
      <w:r>
        <w:rPr>
          <w:rFonts w:hint="eastAsia" w:ascii="Times New Roman" w:hAnsi="Times New Roman" w:eastAsia="宋体" w:cs="Times New Roman"/>
          <w:b/>
          <w:bCs/>
          <w:color w:val="000000"/>
          <w:kern w:val="0"/>
          <w:sz w:val="24"/>
          <w:szCs w:val="24"/>
          <w:highlight w:val="none"/>
        </w:rPr>
        <w:t>项目需求概况</w:t>
      </w:r>
      <w:r>
        <w:rPr>
          <w:rFonts w:ascii="Times New Roman" w:hAnsi="Times New Roman" w:eastAsia="宋体" w:cs="Times New Roman"/>
          <w:b/>
          <w:bCs/>
          <w:color w:val="000000"/>
          <w:kern w:val="0"/>
          <w:sz w:val="24"/>
          <w:szCs w:val="24"/>
          <w:highlight w:val="none"/>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2166"/>
        <w:gridCol w:w="1050"/>
        <w:gridCol w:w="1434"/>
        <w:gridCol w:w="1566"/>
        <w:gridCol w:w="1670"/>
      </w:tblGrid>
      <w:tr w14:paraId="590A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081" w:type="dxa"/>
            <w:shd w:val="clear" w:color="auto" w:fill="F1F1F1" w:themeFill="background1" w:themeFillShade="F2"/>
            <w:vAlign w:val="center"/>
          </w:tcPr>
          <w:p w14:paraId="29C8C693">
            <w:pPr>
              <w:autoSpaceDE w:val="0"/>
              <w:autoSpaceDN w:val="0"/>
              <w:adjustRightInd w:val="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序号</w:t>
            </w:r>
          </w:p>
        </w:tc>
        <w:tc>
          <w:tcPr>
            <w:tcW w:w="2166" w:type="dxa"/>
            <w:shd w:val="clear" w:color="auto" w:fill="F1F1F1" w:themeFill="background1" w:themeFillShade="F2"/>
            <w:vAlign w:val="center"/>
          </w:tcPr>
          <w:p w14:paraId="1676B9BD">
            <w:pPr>
              <w:autoSpaceDE w:val="0"/>
              <w:autoSpaceDN w:val="0"/>
              <w:adjustRightInd w:val="0"/>
              <w:jc w:val="center"/>
              <w:rPr>
                <w:rFonts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项目名称</w:t>
            </w:r>
          </w:p>
        </w:tc>
        <w:tc>
          <w:tcPr>
            <w:tcW w:w="1050" w:type="dxa"/>
            <w:shd w:val="clear" w:color="auto" w:fill="F1F1F1" w:themeFill="background1" w:themeFillShade="F2"/>
            <w:vAlign w:val="center"/>
          </w:tcPr>
          <w:p w14:paraId="63C0544F">
            <w:pPr>
              <w:autoSpaceDE w:val="0"/>
              <w:autoSpaceDN w:val="0"/>
              <w:adjustRightInd w:val="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数量</w:t>
            </w:r>
            <w:r>
              <w:rPr>
                <w:rFonts w:hint="eastAsia" w:ascii="Times New Roman" w:hAnsi="Times New Roman" w:eastAsia="宋体" w:cs="Times New Roman"/>
                <w:color w:val="000000"/>
                <w:kern w:val="0"/>
                <w:sz w:val="21"/>
                <w:szCs w:val="21"/>
                <w:highlight w:val="none"/>
                <w:lang w:val="en-US" w:eastAsia="zh-CN"/>
              </w:rPr>
              <w:t xml:space="preserve">   </w:t>
            </w:r>
            <w:r>
              <w:rPr>
                <w:rFonts w:ascii="Times New Roman" w:hAnsi="Times New Roman" w:eastAsia="宋体" w:cs="Times New Roman"/>
                <w:color w:val="000000"/>
                <w:kern w:val="0"/>
                <w:sz w:val="21"/>
                <w:szCs w:val="21"/>
                <w:highlight w:val="none"/>
              </w:rPr>
              <w:t>（单位）</w:t>
            </w:r>
          </w:p>
        </w:tc>
        <w:tc>
          <w:tcPr>
            <w:tcW w:w="1434" w:type="dxa"/>
            <w:shd w:val="clear" w:color="auto" w:fill="F1F1F1" w:themeFill="background1" w:themeFillShade="F2"/>
            <w:vAlign w:val="center"/>
          </w:tcPr>
          <w:p w14:paraId="646F53EE">
            <w:pPr>
              <w:autoSpaceDE w:val="0"/>
              <w:autoSpaceDN w:val="0"/>
              <w:adjustRightInd w:val="0"/>
              <w:jc w:val="center"/>
              <w:rPr>
                <w:rFonts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履行期限</w:t>
            </w:r>
          </w:p>
        </w:tc>
        <w:tc>
          <w:tcPr>
            <w:tcW w:w="1566" w:type="dxa"/>
            <w:shd w:val="clear" w:color="auto" w:fill="F1F1F1" w:themeFill="background1" w:themeFillShade="F2"/>
            <w:vAlign w:val="center"/>
          </w:tcPr>
          <w:p w14:paraId="1DF3CD9F">
            <w:pPr>
              <w:autoSpaceDE w:val="0"/>
              <w:autoSpaceDN w:val="0"/>
              <w:adjustRightInd w:val="0"/>
              <w:jc w:val="center"/>
              <w:rPr>
                <w:rFonts w:ascii="Times New Roman" w:hAnsi="Times New Roman" w:eastAsia="宋体" w:cs="Times New Roman"/>
                <w:color w:val="000000"/>
                <w:kern w:val="0"/>
                <w:sz w:val="21"/>
                <w:szCs w:val="21"/>
                <w:highlight w:val="none"/>
              </w:rPr>
            </w:pPr>
            <w:r>
              <w:rPr>
                <w:rFonts w:ascii="Times New Roman" w:hAnsi="Times New Roman" w:eastAsia="宋体" w:cs="Times New Roman"/>
                <w:color w:val="000000"/>
                <w:kern w:val="0"/>
                <w:sz w:val="21"/>
                <w:szCs w:val="21"/>
                <w:highlight w:val="none"/>
              </w:rPr>
              <w:t>技术规格、参数及要求</w:t>
            </w:r>
          </w:p>
        </w:tc>
        <w:tc>
          <w:tcPr>
            <w:tcW w:w="1670" w:type="dxa"/>
            <w:shd w:val="clear" w:color="auto" w:fill="F1F1F1" w:themeFill="background1" w:themeFillShade="F2"/>
            <w:vAlign w:val="center"/>
          </w:tcPr>
          <w:p w14:paraId="2D23FF6A">
            <w:pPr>
              <w:autoSpaceDE w:val="0"/>
              <w:autoSpaceDN w:val="0"/>
              <w:adjustRightInd w:val="0"/>
              <w:jc w:val="center"/>
              <w:rPr>
                <w:rFonts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单价限额</w:t>
            </w:r>
            <w:r>
              <w:rPr>
                <w:rFonts w:ascii="Times New Roman" w:hAnsi="Times New Roman" w:eastAsia="宋体" w:cs="Times New Roman"/>
                <w:color w:val="000000"/>
                <w:kern w:val="0"/>
                <w:sz w:val="21"/>
                <w:szCs w:val="21"/>
                <w:highlight w:val="none"/>
              </w:rPr>
              <w:t>（元）</w:t>
            </w:r>
          </w:p>
        </w:tc>
      </w:tr>
      <w:tr w14:paraId="24BA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81" w:type="dxa"/>
            <w:vAlign w:val="center"/>
          </w:tcPr>
          <w:p w14:paraId="7CC238F8">
            <w:pPr>
              <w:autoSpaceDE w:val="0"/>
              <w:autoSpaceDN w:val="0"/>
              <w:adjustRightInd w:val="0"/>
              <w:jc w:val="center"/>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1</w:t>
            </w:r>
          </w:p>
        </w:tc>
        <w:tc>
          <w:tcPr>
            <w:tcW w:w="2166" w:type="dxa"/>
            <w:vAlign w:val="center"/>
          </w:tcPr>
          <w:p w14:paraId="42107290">
            <w:pPr>
              <w:autoSpaceDE w:val="0"/>
              <w:autoSpaceDN w:val="0"/>
              <w:adjustRightInd w:val="0"/>
              <w:jc w:val="center"/>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远程心电数据服务平台服务项目</w:t>
            </w:r>
          </w:p>
        </w:tc>
        <w:tc>
          <w:tcPr>
            <w:tcW w:w="1050" w:type="dxa"/>
            <w:vAlign w:val="center"/>
          </w:tcPr>
          <w:p w14:paraId="0C07CA85">
            <w:pPr>
              <w:autoSpaceDE w:val="0"/>
              <w:autoSpaceDN w:val="0"/>
              <w:adjustRightInd w:val="0"/>
              <w:jc w:val="center"/>
              <w:rPr>
                <w:rFonts w:hint="eastAsia" w:ascii="Times New Roman" w:hAnsi="Times New Roman" w:eastAsia="宋体" w:cs="Times New Roman"/>
                <w:color w:val="000000"/>
                <w:kern w:val="0"/>
                <w:sz w:val="21"/>
                <w:szCs w:val="21"/>
                <w:highlight w:val="none"/>
                <w:lang w:val="en-US" w:eastAsia="zh-CN"/>
              </w:rPr>
            </w:pPr>
            <w:r>
              <w:rPr>
                <w:rFonts w:hint="eastAsia" w:ascii="Times New Roman" w:hAnsi="Times New Roman" w:eastAsia="宋体" w:cs="Times New Roman"/>
                <w:color w:val="000000"/>
                <w:kern w:val="0"/>
                <w:sz w:val="21"/>
                <w:szCs w:val="21"/>
                <w:highlight w:val="none"/>
              </w:rPr>
              <w:t>1</w:t>
            </w:r>
            <w:r>
              <w:rPr>
                <w:rFonts w:hint="eastAsia" w:ascii="Times New Roman" w:hAnsi="Times New Roman" w:eastAsia="宋体" w:cs="Times New Roman"/>
                <w:color w:val="000000"/>
                <w:kern w:val="0"/>
                <w:sz w:val="21"/>
                <w:szCs w:val="21"/>
                <w:highlight w:val="none"/>
                <w:lang w:val="en-US" w:eastAsia="zh-CN"/>
              </w:rPr>
              <w:t>项</w:t>
            </w:r>
          </w:p>
        </w:tc>
        <w:tc>
          <w:tcPr>
            <w:tcW w:w="1434" w:type="dxa"/>
            <w:vAlign w:val="center"/>
          </w:tcPr>
          <w:p w14:paraId="6684C9F2">
            <w:pPr>
              <w:pStyle w:val="5"/>
              <w:rPr>
                <w:rFonts w:hint="eastAsia" w:ascii="Times New Roman" w:hAnsi="Times New Roman" w:eastAsia="宋体" w:cs="Times New Roman"/>
                <w:color w:val="000000"/>
                <w:kern w:val="0"/>
                <w:sz w:val="21"/>
                <w:szCs w:val="21"/>
                <w:highlight w:val="none"/>
              </w:rPr>
            </w:pPr>
            <w:r>
              <w:rPr>
                <w:rFonts w:hint="eastAsia" w:hAnsi="宋体" w:eastAsia="宋体" w:cs="宋体"/>
                <w:sz w:val="24"/>
                <w:highlight w:val="none"/>
              </w:rPr>
              <w:t>自合同签订之日起</w:t>
            </w:r>
            <w:r>
              <w:rPr>
                <w:rFonts w:hint="eastAsia" w:hAnsi="宋体" w:eastAsia="宋体" w:cs="宋体"/>
                <w:sz w:val="24"/>
                <w:highlight w:val="none"/>
                <w:lang w:val="en-US" w:eastAsia="zh-CN"/>
              </w:rPr>
              <w:t>一</w:t>
            </w:r>
            <w:r>
              <w:rPr>
                <w:rFonts w:hint="eastAsia" w:hAnsi="宋体" w:eastAsia="宋体" w:cs="宋体"/>
                <w:sz w:val="24"/>
                <w:highlight w:val="none"/>
              </w:rPr>
              <w:t>年，或本项目采购预算使用结算完为止，以先到达的条件为准。</w:t>
            </w:r>
          </w:p>
        </w:tc>
        <w:tc>
          <w:tcPr>
            <w:tcW w:w="1566" w:type="dxa"/>
            <w:vAlign w:val="center"/>
          </w:tcPr>
          <w:p w14:paraId="349BC665">
            <w:pPr>
              <w:autoSpaceDE w:val="0"/>
              <w:autoSpaceDN w:val="0"/>
              <w:adjustRightInd w:val="0"/>
              <w:jc w:val="center"/>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详见第三点技术标准要求</w:t>
            </w:r>
          </w:p>
        </w:tc>
        <w:tc>
          <w:tcPr>
            <w:tcW w:w="1670" w:type="dxa"/>
            <w:vAlign w:val="center"/>
          </w:tcPr>
          <w:p w14:paraId="5716E775">
            <w:pPr>
              <w:autoSpaceDE w:val="0"/>
              <w:autoSpaceDN w:val="0"/>
              <w:adjustRightInd w:val="0"/>
              <w:jc w:val="center"/>
              <w:rPr>
                <w:rFonts w:hint="default" w:ascii="Times New Roman" w:hAnsi="Times New Roman" w:eastAsia="宋体" w:cs="Times New Roman"/>
                <w:color w:val="000000"/>
                <w:kern w:val="0"/>
                <w:sz w:val="21"/>
                <w:szCs w:val="21"/>
                <w:highlight w:val="none"/>
                <w:lang w:val="en-US" w:eastAsia="zh-CN"/>
              </w:rPr>
            </w:pPr>
            <w:r>
              <w:rPr>
                <w:rFonts w:hint="eastAsia" w:ascii="Times New Roman" w:hAnsi="Times New Roman" w:eastAsia="宋体" w:cs="Times New Roman"/>
                <w:color w:val="000000"/>
                <w:kern w:val="0"/>
                <w:sz w:val="21"/>
                <w:szCs w:val="21"/>
                <w:highlight w:val="none"/>
                <w:lang w:val="en-US" w:eastAsia="zh-CN"/>
              </w:rPr>
              <w:t>不超过190元/例</w:t>
            </w:r>
          </w:p>
        </w:tc>
      </w:tr>
    </w:tbl>
    <w:p w14:paraId="1C2A2424">
      <w:pPr>
        <w:pStyle w:val="14"/>
        <w:spacing w:before="0" w:beforeAutospacing="0" w:after="0" w:afterAutospacing="0" w:line="360" w:lineRule="auto"/>
        <w:ind w:firstLine="420"/>
        <w:jc w:val="center"/>
        <w:rPr>
          <w:rFonts w:ascii="Times New Roman" w:hAnsi="Times New Roman" w:cs="Times New Roman"/>
          <w:b/>
          <w:bCs/>
          <w:color w:val="000000"/>
          <w:sz w:val="19"/>
          <w:szCs w:val="22"/>
          <w:highlight w:val="none"/>
        </w:rPr>
      </w:pPr>
    </w:p>
    <w:p w14:paraId="17B937F2">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二、主要商务要求</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14:paraId="4DF3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14:paraId="37A4019A">
            <w:pPr>
              <w:autoSpaceDE w:val="0"/>
              <w:autoSpaceDN w:val="0"/>
              <w:adjustRightInd w:val="0"/>
              <w:jc w:val="center"/>
              <w:rPr>
                <w:rFonts w:hint="eastAsia" w:ascii="Times New Roman" w:hAnsi="Times New Roman" w:eastAsia="宋体" w:cs="Times New Roman"/>
                <w:b/>
                <w:bCs/>
                <w:color w:val="000000"/>
                <w:kern w:val="0"/>
                <w:sz w:val="21"/>
                <w:szCs w:val="21"/>
                <w:highlight w:val="none"/>
              </w:rPr>
            </w:pPr>
            <w:r>
              <w:rPr>
                <w:rFonts w:hint="eastAsia" w:ascii="Times New Roman" w:hAnsi="Times New Roman" w:eastAsia="宋体" w:cs="Times New Roman"/>
                <w:b/>
                <w:bCs/>
                <w:color w:val="000000"/>
                <w:kern w:val="0"/>
                <w:sz w:val="21"/>
                <w:szCs w:val="21"/>
                <w:highlight w:val="none"/>
              </w:rPr>
              <w:t>标的提供的时间</w:t>
            </w:r>
          </w:p>
        </w:tc>
        <w:tc>
          <w:tcPr>
            <w:tcW w:w="6571" w:type="dxa"/>
            <w:vAlign w:val="center"/>
          </w:tcPr>
          <w:p w14:paraId="29DE3DC0">
            <w:pPr>
              <w:autoSpaceDE w:val="0"/>
              <w:autoSpaceDN w:val="0"/>
              <w:adjustRightInd w:val="0"/>
              <w:jc w:val="center"/>
              <w:rPr>
                <w:rFonts w:hint="eastAsia" w:ascii="Times New Roman" w:hAnsi="Times New Roman" w:eastAsia="宋体" w:cs="Times New Roman"/>
                <w:b/>
                <w:bCs/>
                <w:color w:val="000000"/>
                <w:kern w:val="0"/>
                <w:sz w:val="21"/>
                <w:szCs w:val="21"/>
                <w:highlight w:val="none"/>
              </w:rPr>
            </w:pPr>
            <w:r>
              <w:rPr>
                <w:rFonts w:hint="eastAsia" w:ascii="Times New Roman" w:hAnsi="Times New Roman" w:eastAsia="宋体" w:cs="Times New Roman"/>
                <w:b/>
                <w:bCs/>
                <w:color w:val="000000"/>
                <w:kern w:val="0"/>
                <w:sz w:val="21"/>
                <w:szCs w:val="21"/>
                <w:highlight w:val="none"/>
              </w:rPr>
              <w:t>签订合同后至服务期结束</w:t>
            </w:r>
          </w:p>
        </w:tc>
      </w:tr>
      <w:tr w14:paraId="5333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14:paraId="17AEB0B8">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标的提供的地点</w:t>
            </w:r>
          </w:p>
        </w:tc>
        <w:tc>
          <w:tcPr>
            <w:tcW w:w="6571" w:type="dxa"/>
            <w:vAlign w:val="center"/>
          </w:tcPr>
          <w:p w14:paraId="23BE363F">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医院荔湾院区（广州市荔湾区多宝路63号）、黄埔院区（广州市黄埔区长贤路55号）</w:t>
            </w:r>
          </w:p>
        </w:tc>
      </w:tr>
      <w:tr w14:paraId="7318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14:paraId="072F535F">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投标有效期</w:t>
            </w:r>
          </w:p>
        </w:tc>
        <w:tc>
          <w:tcPr>
            <w:tcW w:w="6571" w:type="dxa"/>
            <w:vAlign w:val="center"/>
          </w:tcPr>
          <w:p w14:paraId="3D9E0B00">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从提交投标（响应）文件的截止之日起90日历天</w:t>
            </w:r>
          </w:p>
        </w:tc>
      </w:tr>
      <w:tr w14:paraId="5157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14:paraId="0CEBA217">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履约保证金</w:t>
            </w:r>
          </w:p>
        </w:tc>
        <w:tc>
          <w:tcPr>
            <w:tcW w:w="6571" w:type="dxa"/>
            <w:vAlign w:val="center"/>
          </w:tcPr>
          <w:p w14:paraId="46B60E84">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不收取</w:t>
            </w:r>
          </w:p>
        </w:tc>
      </w:tr>
      <w:tr w14:paraId="61CB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14:paraId="2F6EBEAF">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其他</w:t>
            </w:r>
          </w:p>
        </w:tc>
        <w:tc>
          <w:tcPr>
            <w:tcW w:w="6571" w:type="dxa"/>
            <w:vAlign w:val="center"/>
          </w:tcPr>
          <w:p w14:paraId="46960A81">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真实性和有效性：同意采购方以任何形式对我方投标文件内容及采购方认为有必要的相关资料的真实性和有效性进行审查、验证。</w:t>
            </w:r>
          </w:p>
          <w:p w14:paraId="051DC2EB">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招标文件附件：投标人应将招标公告的招标文件附件中“补充附件”内容填写好相关信息后附在投标文件中。</w:t>
            </w:r>
          </w:p>
        </w:tc>
      </w:tr>
    </w:tbl>
    <w:p w14:paraId="55023252">
      <w:pPr>
        <w:spacing w:line="345" w:lineRule="exact"/>
        <w:rPr>
          <w:rFonts w:ascii="Times New Roman" w:hAnsi="Times New Roman" w:cs="Times New Roman"/>
          <w:b/>
          <w:bCs/>
          <w:color w:val="000000"/>
          <w:sz w:val="20"/>
          <w:highlight w:val="none"/>
        </w:rPr>
      </w:pPr>
    </w:p>
    <w:p w14:paraId="505149CE">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三、技术标准要求：</w:t>
      </w:r>
    </w:p>
    <w:p w14:paraId="598951C1">
      <w:pPr>
        <w:pStyle w:val="11"/>
        <w:rPr>
          <w:highlight w:val="none"/>
        </w:rPr>
      </w:pPr>
    </w:p>
    <w:p w14:paraId="041244DD">
      <w:pPr>
        <w:pStyle w:val="14"/>
        <w:spacing w:before="0" w:beforeAutospacing="0" w:after="0" w:afterAutospacing="0" w:line="360" w:lineRule="auto"/>
        <w:jc w:val="center"/>
        <w:rPr>
          <w:rFonts w:ascii="Times New Roman" w:hAnsi="Times New Roman" w:cs="Times New Roman" w:eastAsiaTheme="minorEastAsia"/>
          <w:b/>
          <w:bCs/>
          <w:color w:val="auto"/>
          <w:highlight w:val="none"/>
        </w:rPr>
      </w:pPr>
      <w:r>
        <w:rPr>
          <w:rFonts w:ascii="宋体" w:hAnsi="宋体" w:eastAsia="宋体" w:cs="宋体"/>
          <w:b/>
          <w:bCs/>
          <w:color w:val="auto"/>
          <w:sz w:val="24"/>
          <w:szCs w:val="24"/>
          <w:highlight w:val="none"/>
        </w:rPr>
        <w:t>远程心电数据服务平台服务项目</w:t>
      </w:r>
    </w:p>
    <w:tbl>
      <w:tblPr>
        <w:tblStyle w:val="19"/>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655"/>
        <w:gridCol w:w="6406"/>
        <w:gridCol w:w="7"/>
      </w:tblGrid>
      <w:tr w14:paraId="3385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60" w:hRule="atLeast"/>
          <w:jc w:val="center"/>
        </w:trPr>
        <w:tc>
          <w:tcPr>
            <w:tcW w:w="9043" w:type="dxa"/>
            <w:gridSpan w:val="3"/>
            <w:shd w:val="clear" w:color="auto" w:fill="auto"/>
            <w:vAlign w:val="center"/>
          </w:tcPr>
          <w:p w14:paraId="4BE88D67">
            <w:pPr>
              <w:spacing w:line="240" w:lineRule="auto"/>
              <w:jc w:val="center"/>
              <w:rPr>
                <w:rFonts w:hint="eastAsia" w:ascii="宋体" w:hAnsi="宋体" w:eastAsia="宋体" w:cs="宋体"/>
                <w:color w:val="000000"/>
                <w:sz w:val="20"/>
                <w:szCs w:val="20"/>
                <w:highlight w:val="none"/>
              </w:rPr>
            </w:pPr>
            <w:r>
              <w:rPr>
                <w:rFonts w:hint="eastAsia" w:ascii="宋体" w:hAnsi="宋体" w:eastAsia="宋体" w:cs="宋体"/>
                <w:b/>
                <w:bCs/>
                <w:color w:val="000000"/>
                <w:kern w:val="0"/>
                <w:sz w:val="20"/>
                <w:szCs w:val="20"/>
                <w:highlight w:val="none"/>
                <w:lang w:bidi="ar"/>
              </w:rPr>
              <w:t>技术标准要求</w:t>
            </w:r>
          </w:p>
        </w:tc>
      </w:tr>
      <w:tr w14:paraId="2CF0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850" w:hRule="atLeast"/>
          <w:jc w:val="center"/>
        </w:trPr>
        <w:tc>
          <w:tcPr>
            <w:tcW w:w="982" w:type="dxa"/>
            <w:shd w:val="clear" w:color="auto" w:fill="auto"/>
            <w:vAlign w:val="center"/>
          </w:tcPr>
          <w:p w14:paraId="25B1BAD4">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1</w:t>
            </w:r>
          </w:p>
        </w:tc>
        <w:tc>
          <w:tcPr>
            <w:tcW w:w="8061" w:type="dxa"/>
            <w:gridSpan w:val="2"/>
            <w:shd w:val="clear" w:color="auto" w:fill="auto"/>
            <w:vAlign w:val="center"/>
          </w:tcPr>
          <w:p w14:paraId="2E592518">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（一)总体要求:</w:t>
            </w:r>
            <w:r>
              <w:rPr>
                <w:rFonts w:hint="eastAsia" w:ascii="Times New Roman" w:hAnsi="Times New Roman" w:eastAsia="宋体" w:cs="Times New Roman"/>
                <w:color w:val="000000"/>
                <w:kern w:val="0"/>
                <w:sz w:val="21"/>
                <w:szCs w:val="21"/>
                <w:highlight w:val="none"/>
              </w:rPr>
              <w:br w:type="textWrapping"/>
            </w:r>
            <w:r>
              <w:rPr>
                <w:rFonts w:hint="eastAsia" w:ascii="Times New Roman" w:hAnsi="Times New Roman" w:eastAsia="宋体" w:cs="Times New Roman"/>
                <w:color w:val="000000"/>
                <w:kern w:val="0"/>
                <w:sz w:val="21"/>
                <w:szCs w:val="21"/>
                <w:highlight w:val="none"/>
              </w:rPr>
              <w:t>1.投标人在投标文件响应表中必须列出具体数值，如果投标人只注明“差不多”、“接近”等不明确表述的，按照不完全响应或者完全不响应处理。</w:t>
            </w:r>
            <w:r>
              <w:rPr>
                <w:rFonts w:hint="eastAsia" w:ascii="Times New Roman" w:hAnsi="Times New Roman" w:eastAsia="宋体" w:cs="Times New Roman"/>
                <w:color w:val="000000"/>
                <w:kern w:val="0"/>
                <w:sz w:val="21"/>
                <w:szCs w:val="21"/>
                <w:highlight w:val="none"/>
              </w:rPr>
              <w:br w:type="textWrapping"/>
            </w:r>
            <w:r>
              <w:rPr>
                <w:rFonts w:hint="eastAsia" w:ascii="Times New Roman" w:hAnsi="Times New Roman" w:eastAsia="宋体" w:cs="Times New Roman"/>
                <w:color w:val="000000"/>
                <w:kern w:val="0"/>
                <w:sz w:val="21"/>
                <w:szCs w:val="21"/>
                <w:highlight w:val="none"/>
              </w:rPr>
              <w:t>2.参数中带“★”号的条款为实质性要求，投标人的投标方案不得对“★号的部分产生偏离，否则将导致投标无效;参数中带“▲”号条款作为评审时的重要技术参数，不作为“★”号实质性条款，“▲”号条款的负偏离不会导致投标无效，但是会影响投标人的技术、商务得分。</w:t>
            </w:r>
          </w:p>
        </w:tc>
      </w:tr>
      <w:tr w14:paraId="5A09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60" w:hRule="atLeast"/>
          <w:jc w:val="center"/>
        </w:trPr>
        <w:tc>
          <w:tcPr>
            <w:tcW w:w="982" w:type="dxa"/>
            <w:shd w:val="clear" w:color="auto" w:fill="auto"/>
            <w:vAlign w:val="center"/>
          </w:tcPr>
          <w:p w14:paraId="2C23A6FE">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2</w:t>
            </w:r>
          </w:p>
        </w:tc>
        <w:tc>
          <w:tcPr>
            <w:tcW w:w="8061" w:type="dxa"/>
            <w:gridSpan w:val="2"/>
            <w:shd w:val="clear" w:color="auto" w:fill="auto"/>
            <w:vAlign w:val="center"/>
          </w:tcPr>
          <w:p w14:paraId="6ECA180A">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（二）技术服务要求：</w:t>
            </w:r>
          </w:p>
        </w:tc>
      </w:tr>
      <w:tr w14:paraId="01C4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99" w:hRule="atLeast"/>
          <w:jc w:val="center"/>
        </w:trPr>
        <w:tc>
          <w:tcPr>
            <w:tcW w:w="982" w:type="dxa"/>
            <w:shd w:val="clear" w:color="auto" w:fill="auto"/>
            <w:vAlign w:val="center"/>
          </w:tcPr>
          <w:p w14:paraId="2EF1FB97">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rPr>
              <w:t>3</w:t>
            </w:r>
          </w:p>
        </w:tc>
        <w:tc>
          <w:tcPr>
            <w:tcW w:w="8061" w:type="dxa"/>
            <w:gridSpan w:val="2"/>
            <w:shd w:val="clear" w:color="auto" w:fill="auto"/>
            <w:vAlign w:val="center"/>
          </w:tcPr>
          <w:p w14:paraId="144DA520">
            <w:pPr>
              <w:autoSpaceDE w:val="0"/>
              <w:autoSpaceDN w:val="0"/>
              <w:adjustRightInd w:val="0"/>
              <w:jc w:val="both"/>
              <w:rPr>
                <w:rFonts w:hint="eastAsia" w:ascii="Times New Roman" w:hAnsi="Times New Roman" w:eastAsia="宋体" w:cs="Times New Roman"/>
                <w:color w:val="000000"/>
                <w:kern w:val="0"/>
                <w:sz w:val="21"/>
                <w:szCs w:val="21"/>
                <w:highlight w:val="none"/>
              </w:rPr>
            </w:pPr>
            <w:r>
              <w:rPr>
                <w:rFonts w:hint="eastAsia" w:ascii="Times New Roman" w:hAnsi="Times New Roman" w:eastAsia="宋体" w:cs="Times New Roman"/>
                <w:color w:val="000000"/>
                <w:kern w:val="0"/>
                <w:sz w:val="21"/>
                <w:szCs w:val="21"/>
                <w:highlight w:val="none"/>
                <w:lang w:val="en-US" w:eastAsia="zh-CN"/>
              </w:rPr>
              <w:t>远程心电数据服务是基于互联网与物联网技术，构建心电数据采集、传输、存储、AI 预分析及共享于一体的云端服务平台。患者佩戴远程心电监测设备，体征数据实时上传至云端服务器，经标准化数据清洗与人工智能预分析后，生成结构化报告；医生可在线复核、判读，患者可通过移动端随时查看、下载、分享报告。平台支持危急值自动预警、历史数据对比、多终端同步，显著缩短报告等待时间，降低纸质打印成本，方便患者异地就医。</w:t>
            </w:r>
          </w:p>
        </w:tc>
      </w:tr>
      <w:tr w14:paraId="57B0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99" w:hRule="atLeast"/>
          <w:jc w:val="center"/>
        </w:trPr>
        <w:tc>
          <w:tcPr>
            <w:tcW w:w="982" w:type="dxa"/>
            <w:shd w:val="clear" w:color="auto" w:fill="auto"/>
            <w:vAlign w:val="center"/>
          </w:tcPr>
          <w:p w14:paraId="045C81EE">
            <w:pPr>
              <w:widowControl/>
              <w:spacing w:line="240" w:lineRule="auto"/>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09D2549D">
            <w:pPr>
              <w:keepNext w:val="0"/>
              <w:keepLines w:val="0"/>
              <w:pageBreakBefore w:val="0"/>
              <w:widowControl/>
              <w:numPr>
                <w:ilvl w:val="0"/>
                <w:numId w:val="1"/>
              </w:numPr>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服务期内</w:t>
            </w:r>
            <w:r>
              <w:rPr>
                <w:rFonts w:hint="eastAsia" w:ascii="宋体" w:hAnsi="宋体" w:eastAsia="宋体" w:cs="宋体"/>
                <w:b/>
                <w:bCs/>
                <w:color w:val="auto"/>
                <w:sz w:val="21"/>
                <w:szCs w:val="21"/>
                <w:highlight w:val="none"/>
                <w:lang w:val="en-US" w:eastAsia="zh-CN"/>
              </w:rPr>
              <w:t>提供：</w:t>
            </w:r>
          </w:p>
          <w:p w14:paraId="306FFBCB">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iCs w:val="0"/>
                <w:color w:val="auto"/>
                <w:spacing w:val="7"/>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动态心电监护</w:t>
            </w:r>
            <w:r>
              <w:rPr>
                <w:rFonts w:hint="eastAsia" w:ascii="宋体" w:hAnsi="宋体" w:eastAsia="宋体" w:cs="宋体"/>
                <w:color w:val="auto"/>
                <w:sz w:val="21"/>
                <w:szCs w:val="21"/>
                <w:highlight w:val="none"/>
              </w:rPr>
              <w:t>仪、导联线等配件</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免费更换，故障48h内修复</w:t>
            </w:r>
            <w:r>
              <w:rPr>
                <w:rFonts w:hint="eastAsia" w:ascii="宋体" w:hAnsi="宋体" w:eastAsia="宋体" w:cs="宋体"/>
                <w:color w:val="auto"/>
                <w:sz w:val="21"/>
                <w:szCs w:val="21"/>
                <w:highlight w:val="none"/>
                <w:lang w:eastAsia="zh-CN"/>
              </w:rPr>
              <w:t>。</w:t>
            </w:r>
          </w:p>
        </w:tc>
      </w:tr>
      <w:tr w14:paraId="0947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99" w:hRule="atLeast"/>
          <w:jc w:val="center"/>
        </w:trPr>
        <w:tc>
          <w:tcPr>
            <w:tcW w:w="982" w:type="dxa"/>
            <w:shd w:val="clear" w:color="auto" w:fill="auto"/>
            <w:vAlign w:val="center"/>
          </w:tcPr>
          <w:p w14:paraId="076DAB24">
            <w:pPr>
              <w:widowControl/>
              <w:spacing w:line="240" w:lineRule="auto"/>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8061" w:type="dxa"/>
            <w:gridSpan w:val="2"/>
            <w:shd w:val="clear" w:color="auto" w:fill="auto"/>
            <w:vAlign w:val="center"/>
          </w:tcPr>
          <w:p w14:paraId="5668DDEE">
            <w:pPr>
              <w:keepNext w:val="0"/>
              <w:keepLines w:val="0"/>
              <w:widowControl/>
              <w:numPr>
                <w:ilvl w:val="0"/>
                <w:numId w:val="0"/>
              </w:numPr>
              <w:suppressLineNumbers w:val="0"/>
              <w:spacing w:line="240" w:lineRule="auto"/>
              <w:ind w:left="0" w:left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eastAsia="宋体" w:cs="宋体"/>
                <w:b/>
                <w:bCs/>
                <w:color w:val="auto"/>
                <w:sz w:val="21"/>
                <w:szCs w:val="21"/>
                <w:highlight w:val="none"/>
                <w:lang w:val="en-US" w:eastAsia="zh-CN"/>
              </w:rPr>
              <w:t>临床数据管理与分析功能：</w:t>
            </w:r>
          </w:p>
          <w:p w14:paraId="0C601465">
            <w:pPr>
              <w:keepNext w:val="0"/>
              <w:keepLines w:val="0"/>
              <w:widowControl/>
              <w:numPr>
                <w:ilvl w:val="0"/>
                <w:numId w:val="0"/>
              </w:numPr>
              <w:suppressLineNumbers w:val="0"/>
              <w:spacing w:line="24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包括处理动态心电单据管理信息、动态心电业务开单、动态心电报告及审核、动态心电数据总览、动态心电报警信息、动态心电报告信息、动态心电预警报告、动态心电单据统计信息、设备轨迹信息、心电；</w:t>
            </w:r>
          </w:p>
          <w:p w14:paraId="139357C8">
            <w:pPr>
              <w:keepNext w:val="0"/>
              <w:keepLines w:val="0"/>
              <w:widowControl/>
              <w:numPr>
                <w:ilvl w:val="0"/>
                <w:numId w:val="0"/>
              </w:numPr>
              <w:suppressLineNumbers w:val="0"/>
              <w:spacing w:line="240" w:lineRule="auto"/>
              <w:jc w:val="left"/>
              <w:rPr>
                <w:rFonts w:hint="eastAsia" w:ascii="宋体" w:hAnsi="宋体" w:eastAsia="宋体" w:cs="宋体"/>
                <w:b w:val="0"/>
                <w:bCs w:val="0"/>
                <w:i w:val="0"/>
                <w:iCs w:val="0"/>
                <w:color w:val="auto"/>
                <w:spacing w:val="7"/>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支持向量心电图（VCG）功能、室晚电位（VLP）功能、心率变异性（HRV）功能数据摘机上传等功能。</w:t>
            </w:r>
          </w:p>
        </w:tc>
      </w:tr>
      <w:tr w14:paraId="1DEF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60" w:hRule="atLeast"/>
          <w:jc w:val="center"/>
        </w:trPr>
        <w:tc>
          <w:tcPr>
            <w:tcW w:w="982" w:type="dxa"/>
            <w:shd w:val="clear" w:color="auto" w:fill="auto"/>
            <w:vAlign w:val="center"/>
          </w:tcPr>
          <w:p w14:paraId="6C1DF84C">
            <w:pPr>
              <w:widowControl/>
              <w:spacing w:line="240" w:lineRule="auto"/>
              <w:jc w:val="left"/>
              <w:textAlignment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 xml:space="preserve">6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4D56CD55">
            <w:pPr>
              <w:widowControl/>
              <w:numPr>
                <w:ilvl w:val="0"/>
                <w:numId w:val="0"/>
              </w:numPr>
              <w:spacing w:line="240" w:lineRule="auto"/>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3、</w:t>
            </w:r>
            <w:r>
              <w:rPr>
                <w:rFonts w:hint="eastAsia" w:ascii="宋体" w:hAnsi="宋体" w:eastAsia="宋体" w:cs="宋体"/>
                <w:b/>
                <w:bCs/>
                <w:i w:val="0"/>
                <w:iCs w:val="0"/>
                <w:caps w:val="0"/>
                <w:color w:val="auto"/>
                <w:spacing w:val="0"/>
                <w:sz w:val="21"/>
                <w:szCs w:val="21"/>
                <w:highlight w:val="none"/>
                <w:shd w:val="clear" w:fill="FFFFFF"/>
              </w:rPr>
              <w:t>AI辅助</w:t>
            </w:r>
            <w:r>
              <w:rPr>
                <w:rFonts w:hint="eastAsia" w:ascii="宋体" w:hAnsi="宋体" w:eastAsia="宋体" w:cs="宋体"/>
                <w:b/>
                <w:bCs/>
                <w:i w:val="0"/>
                <w:iCs w:val="0"/>
                <w:caps w:val="0"/>
                <w:color w:val="auto"/>
                <w:spacing w:val="0"/>
                <w:sz w:val="21"/>
                <w:szCs w:val="21"/>
                <w:highlight w:val="none"/>
                <w:shd w:val="clear" w:fill="FFFFFF"/>
                <w:lang w:eastAsia="zh-CN"/>
              </w:rPr>
              <w:t>、</w:t>
            </w:r>
            <w:r>
              <w:rPr>
                <w:rStyle w:val="22"/>
                <w:rFonts w:hint="eastAsia" w:ascii="宋体" w:hAnsi="宋体" w:eastAsia="宋体" w:cs="宋体"/>
                <w:b/>
                <w:bCs/>
                <w:color w:val="auto"/>
                <w:sz w:val="21"/>
                <w:szCs w:val="21"/>
                <w:highlight w:val="none"/>
              </w:rPr>
              <w:t>预分析</w:t>
            </w:r>
            <w:r>
              <w:rPr>
                <w:rStyle w:val="22"/>
                <w:rFonts w:hint="eastAsia" w:ascii="宋体" w:hAnsi="宋体" w:eastAsia="宋体" w:cs="宋体"/>
                <w:b/>
                <w:bCs/>
                <w:color w:val="auto"/>
                <w:sz w:val="21"/>
                <w:szCs w:val="21"/>
                <w:highlight w:val="none"/>
                <w:lang w:val="en-US" w:eastAsia="zh-CN"/>
              </w:rPr>
              <w:t>及</w:t>
            </w:r>
            <w:r>
              <w:rPr>
                <w:rStyle w:val="22"/>
                <w:rFonts w:hint="eastAsia" w:ascii="宋体" w:hAnsi="宋体" w:eastAsia="宋体" w:cs="宋体"/>
                <w:b/>
                <w:bCs/>
                <w:color w:val="auto"/>
                <w:sz w:val="21"/>
                <w:szCs w:val="21"/>
                <w:highlight w:val="none"/>
              </w:rPr>
              <w:t>报告生成</w:t>
            </w:r>
            <w:r>
              <w:rPr>
                <w:rFonts w:hint="eastAsia" w:ascii="宋体" w:hAnsi="宋体" w:eastAsia="宋体" w:cs="宋体"/>
                <w:b/>
                <w:bCs/>
                <w:color w:val="auto"/>
                <w:sz w:val="21"/>
                <w:szCs w:val="21"/>
                <w:highlight w:val="none"/>
              </w:rPr>
              <w:t>：</w:t>
            </w:r>
          </w:p>
          <w:p w14:paraId="7A23F529">
            <w:pPr>
              <w:widowControl/>
              <w:spacing w:line="240" w:lineRule="auto"/>
              <w:jc w:val="left"/>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支持AI预分析并生成初筛报告</w:t>
            </w:r>
            <w:r>
              <w:rPr>
                <w:rFonts w:hint="eastAsia" w:ascii="宋体" w:hAnsi="宋体" w:eastAsia="宋体" w:cs="宋体"/>
                <w:b w:val="0"/>
                <w:bCs w:val="0"/>
                <w:color w:val="auto"/>
                <w:sz w:val="21"/>
                <w:szCs w:val="21"/>
                <w:highlight w:val="none"/>
                <w:lang w:eastAsia="zh-CN"/>
              </w:rPr>
              <w:t>；</w:t>
            </w:r>
          </w:p>
          <w:p w14:paraId="064740D3">
            <w:pPr>
              <w:widowControl/>
              <w:spacing w:line="240" w:lineRule="auto"/>
              <w:jc w:val="left"/>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提供报告AI解读，可将报告医疗语言解释为通俗易懂的沟通语言，协助医生与患者沟通</w:t>
            </w:r>
            <w:r>
              <w:rPr>
                <w:rFonts w:hint="eastAsia" w:ascii="宋体" w:hAnsi="宋体" w:eastAsia="宋体" w:cs="宋体"/>
                <w:b w:val="0"/>
                <w:bCs w:val="0"/>
                <w:color w:val="auto"/>
                <w:sz w:val="21"/>
                <w:szCs w:val="21"/>
                <w:highlight w:val="none"/>
                <w:lang w:eastAsia="zh-CN"/>
              </w:rPr>
              <w:t>。</w:t>
            </w:r>
          </w:p>
          <w:p w14:paraId="50FF1905">
            <w:pPr>
              <w:widowControl/>
              <w:spacing w:line="240" w:lineRule="auto"/>
              <w:jc w:val="left"/>
              <w:textAlignment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在收到患者完整的心电数据信息后，应在24小时内向医院提供远程心电数据筛查、分析报告，报告的准确率需达到95%以上。</w:t>
            </w:r>
          </w:p>
        </w:tc>
      </w:tr>
      <w:tr w14:paraId="6875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7DF14DCB">
            <w:pPr>
              <w:widowControl/>
              <w:spacing w:line="240"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 xml:space="preserve">7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190991EA">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4</w:t>
            </w:r>
            <w:r>
              <w:rPr>
                <w:rFonts w:hint="default" w:ascii="宋体" w:hAnsi="宋体" w:eastAsia="宋体" w:cs="宋体"/>
                <w:b/>
                <w:bCs/>
                <w:color w:val="auto"/>
                <w:kern w:val="2"/>
                <w:sz w:val="21"/>
                <w:szCs w:val="21"/>
                <w:highlight w:val="none"/>
                <w:lang w:val="en-US" w:eastAsia="zh-CN" w:bidi="ar-SA"/>
              </w:rPr>
              <w:t>、</w:t>
            </w:r>
            <w:r>
              <w:rPr>
                <w:rStyle w:val="22"/>
                <w:rFonts w:hint="eastAsia" w:ascii="宋体" w:hAnsi="宋体" w:eastAsia="宋体" w:cs="宋体"/>
                <w:b/>
                <w:bCs/>
                <w:color w:val="auto"/>
                <w:sz w:val="21"/>
                <w:szCs w:val="21"/>
                <w:highlight w:val="none"/>
              </w:rPr>
              <w:t>多终端数据查看</w:t>
            </w:r>
            <w:r>
              <w:rPr>
                <w:rFonts w:hint="eastAsia" w:ascii="宋体" w:hAnsi="宋体" w:eastAsia="宋体" w:cs="宋体"/>
                <w:color w:val="auto"/>
                <w:sz w:val="21"/>
                <w:szCs w:val="21"/>
                <w:highlight w:val="none"/>
              </w:rPr>
              <w:t>：</w:t>
            </w:r>
          </w:p>
          <w:p w14:paraId="4481D43E">
            <w:pPr>
              <w:keepNext w:val="0"/>
              <w:keepLines w:val="0"/>
              <w:widowControl/>
              <w:numPr>
                <w:ilvl w:val="0"/>
                <w:numId w:val="0"/>
              </w:numPr>
              <w:suppressLineNumbers w:val="0"/>
              <w:spacing w:line="24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通过监护大屏展示相应页面，包括业务总览（涉及患者姓名、科室信息、业务状态、实时参数等信息）等信息，以及危急值预警信息等；</w:t>
            </w:r>
          </w:p>
          <w:p w14:paraId="0CD752CE">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检查结束且报告审核后，患者可在微信/APP 安全查看结论；</w:t>
            </w:r>
          </w:p>
          <w:p w14:paraId="03054E3A">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戴机期间医护可在线回顾已采集数据，实时评估佩戴质量；</w:t>
            </w:r>
          </w:p>
          <w:p w14:paraId="2D426DA4">
            <w:pPr>
              <w:widowControl/>
              <w:numPr>
                <w:ilvl w:val="0"/>
                <w:numId w:val="0"/>
              </w:numPr>
              <w:spacing w:line="24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支持医生端一键分享实时数据及结论。</w:t>
            </w:r>
          </w:p>
        </w:tc>
      </w:tr>
      <w:tr w14:paraId="2E34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6BB511DA">
            <w:pPr>
              <w:widowControl/>
              <w:spacing w:line="240"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 xml:space="preserve">8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4FF63171">
            <w:pPr>
              <w:widowControl/>
              <w:numPr>
                <w:ilvl w:val="0"/>
                <w:numId w:val="0"/>
              </w:numPr>
              <w:spacing w:line="240" w:lineRule="auto"/>
              <w:ind w:left="0" w:leftChars="0"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5</w:t>
            </w:r>
            <w:r>
              <w:rPr>
                <w:rFonts w:hint="default" w:ascii="宋体" w:hAnsi="宋体" w:eastAsia="宋体" w:cs="宋体"/>
                <w:b/>
                <w:bCs/>
                <w:color w:val="auto"/>
                <w:kern w:val="2"/>
                <w:sz w:val="21"/>
                <w:szCs w:val="21"/>
                <w:highlight w:val="none"/>
                <w:lang w:val="en-US" w:eastAsia="zh-CN" w:bidi="ar-SA"/>
              </w:rPr>
              <w:t>、</w:t>
            </w:r>
            <w:r>
              <w:rPr>
                <w:rStyle w:val="22"/>
                <w:rFonts w:hint="eastAsia" w:ascii="宋体" w:hAnsi="宋体" w:eastAsia="宋体" w:cs="宋体"/>
                <w:b/>
                <w:bCs/>
                <w:color w:val="auto"/>
                <w:sz w:val="21"/>
                <w:szCs w:val="21"/>
                <w:highlight w:val="none"/>
              </w:rPr>
              <w:t>实时监测与危急值管理</w:t>
            </w:r>
            <w:r>
              <w:rPr>
                <w:rFonts w:hint="eastAsia" w:ascii="宋体" w:hAnsi="宋体" w:eastAsia="宋体" w:cs="宋体"/>
                <w:color w:val="auto"/>
                <w:sz w:val="21"/>
                <w:szCs w:val="21"/>
                <w:highlight w:val="none"/>
              </w:rPr>
              <w:t>：</w:t>
            </w:r>
          </w:p>
          <w:p w14:paraId="2B4FF50B">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可通过系统对动态心电戴机患者进行实时P波参数分析，实现24小时房颤筛查；</w:t>
            </w:r>
          </w:p>
          <w:p w14:paraId="0C5C1C19">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支持实时显示单个患者12导联同步心电波形及相应参数 (心率、P 波、RR 间期、S-T 段)，支持实时显示患者的心率、血压、血氧；</w:t>
            </w:r>
          </w:p>
          <w:p w14:paraId="1C7ACDC3">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达到危急值预警，通过微信自动推送，危急值发生时可直接在病人信息旁直观显示（如ST段压低、抬高）。</w:t>
            </w:r>
          </w:p>
        </w:tc>
      </w:tr>
      <w:tr w14:paraId="7384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2B19E65C">
            <w:pPr>
              <w:widowControl/>
              <w:spacing w:line="240" w:lineRule="auto"/>
              <w:jc w:val="left"/>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 xml:space="preserve">9  </w:t>
            </w:r>
          </w:p>
        </w:tc>
        <w:tc>
          <w:tcPr>
            <w:tcW w:w="8061" w:type="dxa"/>
            <w:gridSpan w:val="2"/>
            <w:shd w:val="clear" w:color="auto" w:fill="auto"/>
            <w:vAlign w:val="center"/>
          </w:tcPr>
          <w:p w14:paraId="58BE8314">
            <w:pPr>
              <w:keepNext w:val="0"/>
              <w:keepLines w:val="0"/>
              <w:pageBreakBefore w:val="0"/>
              <w:widowControl/>
              <w:suppressLineNumbers w:val="0"/>
              <w:kinsoku/>
              <w:wordWrap/>
              <w:overflowPunct/>
              <w:topLinePunct w:val="0"/>
              <w:autoSpaceDE/>
              <w:autoSpaceDN/>
              <w:bidi w:val="0"/>
              <w:adjustRightInd/>
              <w:snapToGrid/>
              <w:spacing w:line="240" w:lineRule="auto"/>
              <w:jc w:val="left"/>
              <w:rPr>
                <w:rFonts w:hint="eastAsia" w:ascii="宋体" w:hAnsi="宋体" w:eastAsia="宋体" w:cs="宋体"/>
                <w:color w:val="auto"/>
                <w:sz w:val="21"/>
                <w:szCs w:val="21"/>
                <w:highlight w:val="none"/>
              </w:rPr>
            </w:pPr>
            <w:r>
              <w:rPr>
                <w:rStyle w:val="22"/>
                <w:rFonts w:hint="eastAsia" w:ascii="宋体" w:hAnsi="宋体" w:eastAsia="宋体" w:cs="宋体"/>
                <w:b/>
                <w:bCs/>
                <w:color w:val="auto"/>
                <w:kern w:val="0"/>
                <w:sz w:val="21"/>
                <w:szCs w:val="21"/>
                <w:highlight w:val="none"/>
                <w:lang w:val="en-US" w:eastAsia="zh-CN" w:bidi="ar"/>
              </w:rPr>
              <w:t>6、移动应用</w:t>
            </w:r>
            <w:r>
              <w:rPr>
                <w:rFonts w:hint="eastAsia" w:ascii="宋体" w:hAnsi="宋体" w:eastAsia="宋体" w:cs="宋体"/>
                <w:color w:val="auto"/>
                <w:kern w:val="0"/>
                <w:sz w:val="21"/>
                <w:szCs w:val="21"/>
                <w:highlight w:val="none"/>
                <w:lang w:val="en-US" w:eastAsia="zh-CN" w:bidi="ar"/>
              </w:rPr>
              <w:t>：</w:t>
            </w:r>
          </w:p>
          <w:p w14:paraId="40C514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支持患者、医生及专家通过移动通讯设备随时随地获取患者生命信息、设备运行状态查看、业务管理、心电数据心电事件的查看分析统计预警等全方位操作；</w:t>
            </w:r>
          </w:p>
          <w:p w14:paraId="218827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可绑定移动端设备，通过微信小程序等功能对患者地理位置及设备运行状态（电池电量、导联贴片等）进行管理，并对设备佩戴质量、设备网络信号质量进行评估；</w:t>
            </w:r>
          </w:p>
        </w:tc>
      </w:tr>
      <w:tr w14:paraId="7A31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80" w:hRule="atLeast"/>
          <w:jc w:val="center"/>
        </w:trPr>
        <w:tc>
          <w:tcPr>
            <w:tcW w:w="982" w:type="dxa"/>
            <w:shd w:val="clear" w:color="auto" w:fill="auto"/>
            <w:vAlign w:val="center"/>
          </w:tcPr>
          <w:p w14:paraId="4B3CEE17">
            <w:pPr>
              <w:spacing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6696B385">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kern w:val="0"/>
                <w:sz w:val="21"/>
                <w:szCs w:val="21"/>
                <w:highlight w:val="none"/>
                <w:lang w:val="en-US" w:eastAsia="zh-CN" w:bidi="ar"/>
              </w:rPr>
            </w:pPr>
            <w:r>
              <w:rPr>
                <w:rStyle w:val="22"/>
                <w:rFonts w:hint="eastAsia" w:ascii="宋体" w:hAnsi="宋体" w:eastAsia="宋体" w:cs="宋体"/>
                <w:b/>
                <w:bCs/>
                <w:color w:val="auto"/>
                <w:kern w:val="0"/>
                <w:sz w:val="21"/>
                <w:szCs w:val="21"/>
                <w:highlight w:val="none"/>
                <w:lang w:val="en-US" w:eastAsia="zh-CN" w:bidi="ar"/>
              </w:rPr>
              <w:t>移动应用功能</w:t>
            </w:r>
            <w:r>
              <w:rPr>
                <w:rFonts w:hint="eastAsia" w:ascii="宋体" w:hAnsi="宋体" w:eastAsia="宋体" w:cs="宋体"/>
                <w:color w:val="auto"/>
                <w:kern w:val="0"/>
                <w:sz w:val="21"/>
                <w:szCs w:val="21"/>
                <w:highlight w:val="none"/>
                <w:lang w:val="en-US" w:eastAsia="zh-CN" w:bidi="ar"/>
              </w:rPr>
              <w:t>：</w:t>
            </w:r>
          </w:p>
          <w:p w14:paraId="70F45B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移动端小程序可统计心律失常数据，包括：室上性（房性心律失常、房室交界性）、室性心律失常、其他心律失常；</w:t>
            </w:r>
          </w:p>
          <w:p w14:paraId="7CFD2E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移动端小程序可实时对ST波参数进行实时分析，提供ST危急值，可对24小时整体散点图以及平均各小时散点图进行分析及查看详细对应心电图片段；</w:t>
            </w:r>
          </w:p>
          <w:p w14:paraId="58084F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通过安卓平板应用，实现一站式业务开单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移动通讯设备随时随地获取患者生命信息、心电数据心电事件的查看分析统计等全方位操作。</w:t>
            </w:r>
          </w:p>
        </w:tc>
      </w:tr>
      <w:tr w14:paraId="3F58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80" w:hRule="atLeast"/>
          <w:jc w:val="center"/>
        </w:trPr>
        <w:tc>
          <w:tcPr>
            <w:tcW w:w="982" w:type="dxa"/>
            <w:shd w:val="clear" w:color="auto" w:fill="auto"/>
            <w:vAlign w:val="center"/>
          </w:tcPr>
          <w:p w14:paraId="20432ACD">
            <w:pPr>
              <w:spacing w:line="240"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8061" w:type="dxa"/>
            <w:gridSpan w:val="2"/>
            <w:shd w:val="clear" w:color="auto" w:fill="auto"/>
            <w:vAlign w:val="center"/>
          </w:tcPr>
          <w:p w14:paraId="685CC4F7">
            <w:pPr>
              <w:widowControl/>
              <w:numPr>
                <w:ilvl w:val="0"/>
                <w:numId w:val="3"/>
              </w:numPr>
              <w:spacing w:line="240" w:lineRule="auto"/>
              <w:ind w:leftChars="0"/>
              <w:jc w:val="left"/>
              <w:textAlignment w:val="center"/>
              <w:rPr>
                <w:rFonts w:hint="eastAsia" w:ascii="宋体" w:hAnsi="宋体" w:eastAsia="宋体" w:cs="宋体"/>
                <w:color w:val="auto"/>
                <w:sz w:val="21"/>
                <w:szCs w:val="21"/>
                <w:highlight w:val="none"/>
              </w:rPr>
            </w:pPr>
            <w:r>
              <w:rPr>
                <w:rStyle w:val="22"/>
                <w:rFonts w:hint="eastAsia" w:ascii="宋体" w:hAnsi="宋体" w:eastAsia="宋体" w:cs="宋体"/>
                <w:b/>
                <w:bCs/>
                <w:color w:val="auto"/>
                <w:sz w:val="21"/>
                <w:szCs w:val="21"/>
                <w:highlight w:val="none"/>
              </w:rPr>
              <w:t>物联网设备管理</w:t>
            </w:r>
            <w:r>
              <w:rPr>
                <w:rFonts w:hint="eastAsia" w:ascii="宋体" w:hAnsi="宋体" w:eastAsia="宋体" w:cs="宋体"/>
                <w:color w:val="auto"/>
                <w:sz w:val="21"/>
                <w:szCs w:val="21"/>
                <w:highlight w:val="none"/>
              </w:rPr>
              <w:t>：</w:t>
            </w:r>
          </w:p>
          <w:p w14:paraId="45583304">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设备运行状态（电池电量、导联贴片等）进行管理，并对设备佩戴质量、设备网络信号质量进行评估、远程佩戴：可通过系统远程控制患者佩戴的设备终端，远程解决患者佩戴途中的问题，避免无效戴机。</w:t>
            </w:r>
          </w:p>
        </w:tc>
      </w:tr>
      <w:tr w14:paraId="7903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80" w:hRule="atLeast"/>
          <w:jc w:val="center"/>
        </w:trPr>
        <w:tc>
          <w:tcPr>
            <w:tcW w:w="982" w:type="dxa"/>
            <w:shd w:val="clear" w:color="auto" w:fill="auto"/>
            <w:vAlign w:val="center"/>
          </w:tcPr>
          <w:p w14:paraId="49278C18">
            <w:pPr>
              <w:widowControl/>
              <w:spacing w:line="240" w:lineRule="auto"/>
              <w:jc w:val="left"/>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 xml:space="preserve">12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1E6A1B41">
            <w:pPr>
              <w:widowControl/>
              <w:numPr>
                <w:ilvl w:val="0"/>
                <w:numId w:val="0"/>
              </w:numPr>
              <w:spacing w:line="240" w:lineRule="auto"/>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9、</w:t>
            </w:r>
            <w:r>
              <w:rPr>
                <w:rStyle w:val="22"/>
                <w:rFonts w:hint="eastAsia" w:ascii="宋体" w:hAnsi="宋体" w:eastAsia="宋体" w:cs="宋体"/>
                <w:b/>
                <w:bCs/>
                <w:color w:val="auto"/>
                <w:sz w:val="21"/>
                <w:szCs w:val="21"/>
                <w:highlight w:val="none"/>
              </w:rPr>
              <w:t>数据统计</w:t>
            </w:r>
            <w:r>
              <w:rPr>
                <w:rFonts w:hint="eastAsia" w:ascii="宋体" w:hAnsi="宋体" w:eastAsia="宋体" w:cs="宋体"/>
                <w:b/>
                <w:bCs/>
                <w:color w:val="auto"/>
                <w:sz w:val="21"/>
                <w:szCs w:val="21"/>
                <w:highlight w:val="none"/>
              </w:rPr>
              <w:t>：</w:t>
            </w:r>
          </w:p>
          <w:p w14:paraId="0AD384CC">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具有数据统计分析功能，支持数据挖掘，提供数据导出；</w:t>
            </w:r>
          </w:p>
          <w:p w14:paraId="0D36590D">
            <w:pPr>
              <w:widowControl/>
              <w:numPr>
                <w:ilvl w:val="0"/>
                <w:numId w:val="0"/>
              </w:numPr>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可将分析结果中的情况按小时统计，方便查看全天不同时间的情况；</w:t>
            </w:r>
          </w:p>
        </w:tc>
      </w:tr>
      <w:tr w14:paraId="649E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03AAB6D9">
            <w:pPr>
              <w:widowControl/>
              <w:spacing w:line="240"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3</w:t>
            </w:r>
          </w:p>
        </w:tc>
        <w:tc>
          <w:tcPr>
            <w:tcW w:w="8061" w:type="dxa"/>
            <w:gridSpan w:val="2"/>
            <w:shd w:val="clear" w:color="auto" w:fill="auto"/>
            <w:vAlign w:val="center"/>
          </w:tcPr>
          <w:p w14:paraId="317381A7">
            <w:pPr>
              <w:widowControl/>
              <w:numPr>
                <w:ilvl w:val="0"/>
                <w:numId w:val="0"/>
              </w:numPr>
              <w:spacing w:line="240" w:lineRule="auto"/>
              <w:ind w:left="0" w:leftChars="0" w:firstLine="0" w:firstLineChars="0"/>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10、</w:t>
            </w:r>
            <w:r>
              <w:rPr>
                <w:rStyle w:val="22"/>
                <w:rFonts w:hint="eastAsia" w:ascii="宋体" w:hAnsi="宋体" w:eastAsia="宋体" w:cs="宋体"/>
                <w:b/>
                <w:bCs/>
                <w:color w:val="auto"/>
                <w:sz w:val="21"/>
                <w:szCs w:val="21"/>
                <w:highlight w:val="none"/>
              </w:rPr>
              <w:t>WEB 服务与浏览功能</w:t>
            </w:r>
            <w:r>
              <w:rPr>
                <w:rFonts w:hint="eastAsia" w:ascii="宋体" w:hAnsi="宋体" w:eastAsia="宋体" w:cs="宋体"/>
                <w:b/>
                <w:bCs/>
                <w:color w:val="auto"/>
                <w:sz w:val="21"/>
                <w:szCs w:val="21"/>
                <w:highlight w:val="none"/>
              </w:rPr>
              <w:t>：</w:t>
            </w:r>
          </w:p>
          <w:p w14:paraId="7A9A3A09">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无需安装软件，院内任意一台联入网络的计算机即可浏览；</w:t>
            </w:r>
          </w:p>
          <w:p w14:paraId="0C5EAF92">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系统支持多种报告包括波形资料的回顾、编辑、浏览；提供用户登录功能，为不同用户分配不同的查看权限；支持同一病人不同检查时间心电图波形对比功能；</w:t>
            </w:r>
          </w:p>
          <w:p w14:paraId="473558DB">
            <w:pPr>
              <w:widowControl/>
              <w:numPr>
                <w:ilvl w:val="0"/>
                <w:numId w:val="0"/>
              </w:numPr>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浏览时可进行报告和波形打印。</w:t>
            </w:r>
          </w:p>
        </w:tc>
      </w:tr>
      <w:tr w14:paraId="7356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60" w:hRule="atLeast"/>
          <w:jc w:val="center"/>
        </w:trPr>
        <w:tc>
          <w:tcPr>
            <w:tcW w:w="982" w:type="dxa"/>
            <w:shd w:val="clear" w:color="auto" w:fill="auto"/>
            <w:vAlign w:val="center"/>
          </w:tcPr>
          <w:p w14:paraId="34B8B42F">
            <w:pPr>
              <w:widowControl/>
              <w:spacing w:line="240"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4</w:t>
            </w:r>
          </w:p>
        </w:tc>
        <w:tc>
          <w:tcPr>
            <w:tcW w:w="8061" w:type="dxa"/>
            <w:gridSpan w:val="2"/>
            <w:shd w:val="clear" w:color="auto" w:fill="auto"/>
            <w:vAlign w:val="center"/>
          </w:tcPr>
          <w:p w14:paraId="0EF00EB7">
            <w:pPr>
              <w:widowControl/>
              <w:spacing w:line="240" w:lineRule="auto"/>
              <w:jc w:val="left"/>
              <w:textAlignment w:val="center"/>
              <w:rPr>
                <w:rFonts w:hint="eastAsia" w:ascii="宋体" w:hAnsi="宋体" w:eastAsia="宋体" w:cs="宋体"/>
                <w:color w:val="auto"/>
                <w:sz w:val="21"/>
                <w:szCs w:val="21"/>
                <w:highlight w:val="none"/>
              </w:rPr>
            </w:pPr>
            <w:r>
              <w:rPr>
                <w:rStyle w:val="22"/>
                <w:rFonts w:hint="eastAsia" w:ascii="宋体" w:hAnsi="宋体" w:eastAsia="宋体" w:cs="宋体"/>
                <w:b/>
                <w:bCs/>
                <w:color w:val="auto"/>
                <w:sz w:val="21"/>
                <w:szCs w:val="21"/>
                <w:highlight w:val="none"/>
                <w:lang w:val="en-US" w:eastAsia="zh-CN"/>
              </w:rPr>
              <w:t>11、</w:t>
            </w:r>
            <w:r>
              <w:rPr>
                <w:rStyle w:val="22"/>
                <w:rFonts w:hint="eastAsia" w:ascii="宋体" w:hAnsi="宋体" w:eastAsia="宋体" w:cs="宋体"/>
                <w:b/>
                <w:bCs/>
                <w:color w:val="auto"/>
                <w:sz w:val="21"/>
                <w:szCs w:val="21"/>
                <w:highlight w:val="none"/>
              </w:rPr>
              <w:t>数据管理与隐私保护</w:t>
            </w:r>
            <w:r>
              <w:rPr>
                <w:rFonts w:hint="eastAsia" w:ascii="宋体" w:hAnsi="宋体" w:eastAsia="宋体" w:cs="宋体"/>
                <w:color w:val="auto"/>
                <w:sz w:val="21"/>
                <w:szCs w:val="21"/>
                <w:highlight w:val="none"/>
              </w:rPr>
              <w:t>：</w:t>
            </w:r>
          </w:p>
          <w:p w14:paraId="2CE54A0A">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建立数据中心，汇总各类生理参数数据，实现各医疗机构对数据的统一存储、统一管理；对外共享数据时支持数据保护，符合数据隐私设置要求，隐藏病人关键信息，能做到对患者</w:t>
            </w:r>
            <w:r>
              <w:rPr>
                <w:rFonts w:hint="eastAsia" w:ascii="宋体" w:hAnsi="宋体" w:eastAsia="宋体" w:cs="宋体"/>
                <w:color w:val="auto"/>
                <w:sz w:val="21"/>
                <w:szCs w:val="21"/>
                <w:highlight w:val="none"/>
                <w:lang w:val="en-US" w:eastAsia="zh-CN"/>
              </w:rPr>
              <w:t>检查</w:t>
            </w:r>
            <w:r>
              <w:rPr>
                <w:rFonts w:hint="eastAsia" w:ascii="宋体" w:hAnsi="宋体" w:eastAsia="宋体" w:cs="宋体"/>
                <w:color w:val="auto"/>
                <w:sz w:val="21"/>
                <w:szCs w:val="21"/>
                <w:highlight w:val="none"/>
              </w:rPr>
              <w:t>结果等信息保密，未经采购方同意不得泄露给第三者，否则投标方承担所有相应责任。</w:t>
            </w:r>
          </w:p>
        </w:tc>
      </w:tr>
      <w:tr w14:paraId="6D87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4B65C2F6">
            <w:pPr>
              <w:widowControl/>
              <w:spacing w:line="240" w:lineRule="auto"/>
              <w:jc w:val="left"/>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15</w:t>
            </w:r>
          </w:p>
        </w:tc>
        <w:tc>
          <w:tcPr>
            <w:tcW w:w="8061" w:type="dxa"/>
            <w:gridSpan w:val="2"/>
            <w:shd w:val="clear" w:color="auto" w:fill="auto"/>
            <w:vAlign w:val="center"/>
          </w:tcPr>
          <w:p w14:paraId="19F52B37">
            <w:pPr>
              <w:widowControl/>
              <w:spacing w:line="240" w:lineRule="auto"/>
              <w:jc w:val="left"/>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12、平台运营服务：</w:t>
            </w:r>
          </w:p>
          <w:p w14:paraId="1B3CCCE7">
            <w:pPr>
              <w:keepNext w:val="0"/>
              <w:keepLines w:val="0"/>
              <w:widowControl/>
              <w:numPr>
                <w:ilvl w:val="0"/>
                <w:numId w:val="0"/>
              </w:numPr>
              <w:suppressLineNumbers w:val="0"/>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平台基建服务：采用分布式微服务架构，通过独立分库的区块链构建云平台系统。各服务支持独立部署和集中部署；支持网关服务，实现路由、服务聚合、服务发现、认证、鉴权、限流、熔断、缓存、Header 头传递等功能配置；保证系统正常有效的使用，需要具有消息队列技术，支持事务消息、顺序消息、批量消息、定时消息、消息回溯等功能。</w:t>
            </w:r>
          </w:p>
          <w:p w14:paraId="48E951FA">
            <w:pPr>
              <w:keepNext w:val="0"/>
              <w:keepLines w:val="0"/>
              <w:widowControl/>
              <w:numPr>
                <w:ilvl w:val="0"/>
                <w:numId w:val="0"/>
              </w:numPr>
              <w:suppressLineNumbers w:val="0"/>
              <w:spacing w:line="24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业务支撑：支持设备管理、人员管理、科室训练等管理条件；网络管理设计权限，主要功能包括：医生用户名分配，权限设定，模块开启关闭，差错流程处理，数据备份等。电图报告的生命周期管理，通过调用链跟踪、分布式日志系统、消息队列等记录每一份心电报告周期，对功能调试、问题排查、定位都提供可靠保障；具有心电自动分析服务，支持诊断分级，对所有采集下来的数据进行诊断分级处理。支持数据预分析和结果分级，可查看分析的诊断结果和数据危急等级，帮助医生诊断和判断患者心电数据具体情况；具有心电自动分析服务，支持诊断分级，对所有采集下来的数据进行诊断分级处理。支持数据预分析和结果分级，可查看分析的诊断结果和数据危急等级，帮助医生诊断和判断患者心电数据具体情况。</w:t>
            </w:r>
          </w:p>
        </w:tc>
      </w:tr>
      <w:tr w14:paraId="1C7A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0" w:hRule="atLeast"/>
          <w:jc w:val="center"/>
        </w:trPr>
        <w:tc>
          <w:tcPr>
            <w:tcW w:w="982" w:type="dxa"/>
            <w:shd w:val="clear" w:color="auto" w:fill="auto"/>
            <w:vAlign w:val="center"/>
          </w:tcPr>
          <w:p w14:paraId="29701A12">
            <w:pPr>
              <w:widowControl/>
              <w:spacing w:line="240" w:lineRule="auto"/>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16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270A64AC">
            <w:pPr>
              <w:widowControl/>
              <w:numPr>
                <w:ilvl w:val="0"/>
                <w:numId w:val="0"/>
              </w:numPr>
              <w:spacing w:line="240" w:lineRule="auto"/>
              <w:ind w:left="0" w:leftChars="0"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13、</w:t>
            </w:r>
            <w:r>
              <w:rPr>
                <w:rFonts w:hint="eastAsia" w:ascii="宋体" w:hAnsi="宋体" w:eastAsia="宋体" w:cs="宋体"/>
                <w:b/>
                <w:bCs/>
                <w:color w:val="auto"/>
                <w:kern w:val="0"/>
                <w:sz w:val="21"/>
                <w:szCs w:val="21"/>
                <w:highlight w:val="none"/>
                <w:lang w:val="en-US" w:eastAsia="zh-CN" w:bidi="ar"/>
              </w:rPr>
              <w:t>系统运维：</w:t>
            </w:r>
          </w:p>
          <w:p w14:paraId="4B10C57D">
            <w:pPr>
              <w:widowControl/>
              <w:numPr>
                <w:ilvl w:val="0"/>
                <w:numId w:val="0"/>
              </w:numPr>
              <w:spacing w:line="240" w:lineRule="auto"/>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可通过系统远程控制患者佩戴的设备终端（电池、导联状态、设备地理位置等信息），远程解决患者佩戴途中的问题，降低维护成本，避免无效戴机</w:t>
            </w:r>
            <w:r>
              <w:rPr>
                <w:rFonts w:hint="eastAsia" w:ascii="宋体" w:hAnsi="宋体" w:eastAsia="宋体" w:cs="宋体"/>
                <w:color w:val="auto"/>
                <w:sz w:val="21"/>
                <w:szCs w:val="21"/>
                <w:highlight w:val="none"/>
                <w:lang w:eastAsia="zh-CN"/>
              </w:rPr>
              <w:t>。</w:t>
            </w:r>
          </w:p>
        </w:tc>
      </w:tr>
      <w:tr w14:paraId="6434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0" w:hRule="atLeast"/>
          <w:jc w:val="center"/>
        </w:trPr>
        <w:tc>
          <w:tcPr>
            <w:tcW w:w="982" w:type="dxa"/>
            <w:shd w:val="clear" w:color="auto" w:fill="auto"/>
            <w:vAlign w:val="center"/>
          </w:tcPr>
          <w:p w14:paraId="2697A973">
            <w:pPr>
              <w:widowControl/>
              <w:spacing w:line="240" w:lineRule="auto"/>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17  </w:t>
            </w:r>
            <w:r>
              <w:rPr>
                <w:rFonts w:hint="eastAsia" w:ascii="宋体" w:hAnsi="宋体" w:eastAsia="宋体" w:cs="宋体"/>
                <w:color w:val="auto"/>
                <w:kern w:val="0"/>
                <w:sz w:val="21"/>
                <w:szCs w:val="21"/>
                <w:highlight w:val="none"/>
              </w:rPr>
              <w:t>▲</w:t>
            </w:r>
          </w:p>
        </w:tc>
        <w:tc>
          <w:tcPr>
            <w:tcW w:w="8061" w:type="dxa"/>
            <w:gridSpan w:val="2"/>
            <w:shd w:val="clear" w:color="auto" w:fill="auto"/>
            <w:vAlign w:val="center"/>
          </w:tcPr>
          <w:p w14:paraId="3B28007B">
            <w:pPr>
              <w:keepNext w:val="0"/>
              <w:keepLines w:val="0"/>
              <w:widowControl/>
              <w:numPr>
                <w:ilvl w:val="0"/>
                <w:numId w:val="0"/>
              </w:numPr>
              <w:suppressLineNumbers w:val="0"/>
              <w:spacing w:line="240" w:lineRule="auto"/>
              <w:jc w:val="left"/>
              <w:rPr>
                <w:rFonts w:hint="eastAsia" w:ascii="宋体" w:hAnsi="宋体" w:eastAsia="宋体" w:cs="宋体"/>
                <w:b/>
                <w:bCs/>
                <w:i w:val="0"/>
                <w:iCs w:val="0"/>
                <w:caps w:val="0"/>
                <w:color w:val="auto"/>
                <w:spacing w:val="0"/>
                <w:sz w:val="21"/>
                <w:szCs w:val="21"/>
                <w:highlight w:val="none"/>
                <w:shd w:val="clear" w:fill="FFFFFF"/>
                <w:lang w:eastAsia="zh-CN"/>
              </w:rPr>
            </w:pPr>
            <w:r>
              <w:rPr>
                <w:rFonts w:hint="eastAsia" w:ascii="宋体" w:hAnsi="宋体" w:eastAsia="宋体" w:cs="宋体"/>
                <w:b/>
                <w:bCs/>
                <w:i w:val="0"/>
                <w:iCs w:val="0"/>
                <w:caps w:val="0"/>
                <w:color w:val="auto"/>
                <w:spacing w:val="0"/>
                <w:kern w:val="2"/>
                <w:sz w:val="21"/>
                <w:szCs w:val="21"/>
                <w:highlight w:val="none"/>
                <w:shd w:val="clear" w:fill="FFFFFF"/>
                <w:lang w:val="en-US" w:eastAsia="zh-CN" w:bidi="ar-SA"/>
              </w:rPr>
              <w:t>14、</w:t>
            </w:r>
            <w:r>
              <w:rPr>
                <w:rFonts w:hint="eastAsia" w:ascii="宋体" w:hAnsi="宋体" w:eastAsia="宋体" w:cs="宋体"/>
                <w:b/>
                <w:bCs/>
                <w:i w:val="0"/>
                <w:iCs w:val="0"/>
                <w:caps w:val="0"/>
                <w:color w:val="auto"/>
                <w:spacing w:val="0"/>
                <w:sz w:val="21"/>
                <w:szCs w:val="21"/>
                <w:highlight w:val="none"/>
                <w:shd w:val="clear" w:fill="FFFFFF"/>
              </w:rPr>
              <w:t>技术支持与售后保障</w:t>
            </w:r>
            <w:r>
              <w:rPr>
                <w:rFonts w:hint="eastAsia" w:ascii="宋体" w:hAnsi="宋体" w:eastAsia="宋体" w:cs="宋体"/>
                <w:b/>
                <w:bCs/>
                <w:i w:val="0"/>
                <w:iCs w:val="0"/>
                <w:caps w:val="0"/>
                <w:color w:val="auto"/>
                <w:spacing w:val="0"/>
                <w:sz w:val="21"/>
                <w:szCs w:val="21"/>
                <w:highlight w:val="none"/>
                <w:shd w:val="clear" w:fill="FFFFFF"/>
                <w:lang w:eastAsia="zh-CN"/>
              </w:rPr>
              <w:t>：</w:t>
            </w:r>
          </w:p>
          <w:p w14:paraId="716954DF">
            <w:pPr>
              <w:keepNext w:val="0"/>
              <w:keepLines w:val="0"/>
              <w:widowControl/>
              <w:numPr>
                <w:ilvl w:val="0"/>
                <w:numId w:val="0"/>
              </w:numPr>
              <w:suppressLineNumbers w:val="0"/>
              <w:spacing w:line="240" w:lineRule="auto"/>
              <w:jc w:val="left"/>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rPr>
              <w:t>响应时间要求：7×24小时响应，现场问题处理：5×8小时</w:t>
            </w:r>
            <w:r>
              <w:rPr>
                <w:rFonts w:hint="eastAsia" w:ascii="宋体" w:hAnsi="宋体" w:eastAsia="宋体" w:cs="宋体"/>
                <w:i w:val="0"/>
                <w:iCs w:val="0"/>
                <w:caps w:val="0"/>
                <w:color w:val="auto"/>
                <w:spacing w:val="0"/>
                <w:sz w:val="21"/>
                <w:szCs w:val="21"/>
                <w:highlight w:val="none"/>
                <w:shd w:val="clear" w:fill="FFFFFF"/>
                <w:lang w:eastAsia="zh-CN"/>
              </w:rPr>
              <w:t>；</w:t>
            </w:r>
          </w:p>
          <w:p w14:paraId="62B1EB58">
            <w:pPr>
              <w:keepNext w:val="0"/>
              <w:keepLines w:val="0"/>
              <w:widowControl/>
              <w:numPr>
                <w:ilvl w:val="0"/>
                <w:numId w:val="0"/>
              </w:numPr>
              <w:suppressLineNumbers w:val="0"/>
              <w:spacing w:line="240" w:lineRule="auto"/>
              <w:jc w:val="left"/>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rPr>
              <w:t>当服务内容中系统出现故障时，30分钟内响应并提供远程工程师技术支持，若远程支持不能解决故障时12小时内维修工程师到达现场</w:t>
            </w:r>
            <w:r>
              <w:rPr>
                <w:rFonts w:hint="eastAsia" w:ascii="宋体" w:hAnsi="宋体" w:eastAsia="宋体" w:cs="宋体"/>
                <w:i w:val="0"/>
                <w:iCs w:val="0"/>
                <w:caps w:val="0"/>
                <w:color w:val="auto"/>
                <w:spacing w:val="0"/>
                <w:sz w:val="21"/>
                <w:szCs w:val="21"/>
                <w:highlight w:val="none"/>
                <w:shd w:val="clear" w:fill="FFFFFF"/>
                <w:lang w:eastAsia="zh-CN"/>
              </w:rPr>
              <w:t>；</w:t>
            </w:r>
          </w:p>
          <w:p w14:paraId="26FD2089">
            <w:pPr>
              <w:keepNext w:val="0"/>
              <w:keepLines w:val="0"/>
              <w:widowControl/>
              <w:numPr>
                <w:ilvl w:val="0"/>
                <w:numId w:val="0"/>
              </w:numPr>
              <w:suppressLineNumbers w:val="0"/>
              <w:spacing w:line="240" w:lineRule="auto"/>
              <w:jc w:val="left"/>
              <w:rPr>
                <w:rFonts w:hint="eastAsia" w:ascii="宋体" w:hAnsi="宋体" w:eastAsia="宋体" w:cs="宋体"/>
                <w:i w:val="0"/>
                <w:iCs w:val="0"/>
                <w:caps w:val="0"/>
                <w:color w:val="auto"/>
                <w:spacing w:val="0"/>
                <w:sz w:val="21"/>
                <w:szCs w:val="21"/>
                <w:highlight w:val="none"/>
                <w:shd w:val="clear" w:fill="FFFFFF"/>
                <w:lang w:val="en-US" w:eastAsia="zh-CN"/>
              </w:rPr>
            </w:pPr>
            <w:r>
              <w:rPr>
                <w:rFonts w:hint="eastAsia" w:ascii="宋体" w:hAnsi="宋体" w:eastAsia="宋体" w:cs="宋体"/>
                <w:i w:val="0"/>
                <w:iCs w:val="0"/>
                <w:caps w:val="0"/>
                <w:color w:val="auto"/>
                <w:spacing w:val="0"/>
                <w:sz w:val="21"/>
                <w:szCs w:val="21"/>
                <w:highlight w:val="none"/>
                <w:shd w:val="clear" w:fill="FFFFFF"/>
              </w:rPr>
              <w:t>提供系统培训服务，包括对医院医护人员及</w:t>
            </w:r>
            <w:r>
              <w:rPr>
                <w:rFonts w:hint="eastAsia" w:ascii="宋体" w:hAnsi="宋体" w:eastAsia="宋体" w:cs="宋体"/>
                <w:i w:val="0"/>
                <w:iCs w:val="0"/>
                <w:caps w:val="0"/>
                <w:color w:val="auto"/>
                <w:spacing w:val="0"/>
                <w:sz w:val="21"/>
                <w:szCs w:val="21"/>
                <w:highlight w:val="none"/>
                <w:shd w:val="clear" w:fill="FFFFFF"/>
                <w:lang w:val="en-US" w:eastAsia="zh-CN"/>
              </w:rPr>
              <w:t>相关</w:t>
            </w:r>
            <w:r>
              <w:rPr>
                <w:rFonts w:hint="eastAsia" w:ascii="宋体" w:hAnsi="宋体" w:eastAsia="宋体" w:cs="宋体"/>
                <w:i w:val="0"/>
                <w:iCs w:val="0"/>
                <w:caps w:val="0"/>
                <w:color w:val="auto"/>
                <w:spacing w:val="0"/>
                <w:sz w:val="21"/>
                <w:szCs w:val="21"/>
                <w:highlight w:val="none"/>
                <w:shd w:val="clear" w:fill="FFFFFF"/>
              </w:rPr>
              <w:t>人员的培训</w:t>
            </w:r>
            <w:r>
              <w:rPr>
                <w:rFonts w:hint="eastAsia" w:ascii="宋体" w:hAnsi="宋体" w:eastAsia="宋体" w:cs="宋体"/>
                <w:i w:val="0"/>
                <w:iCs w:val="0"/>
                <w:caps w:val="0"/>
                <w:color w:val="auto"/>
                <w:spacing w:val="0"/>
                <w:sz w:val="21"/>
                <w:szCs w:val="21"/>
                <w:highlight w:val="none"/>
                <w:shd w:val="clear" w:fill="FFFFFF"/>
                <w:lang w:eastAsia="zh-CN"/>
              </w:rPr>
              <w:t>；</w:t>
            </w:r>
          </w:p>
        </w:tc>
      </w:tr>
      <w:tr w14:paraId="51DB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050" w:type="dxa"/>
            <w:gridSpan w:val="4"/>
            <w:shd w:val="clear" w:color="auto" w:fill="auto"/>
            <w:vAlign w:val="center"/>
          </w:tcPr>
          <w:p w14:paraId="435FEB88">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kern w:val="0"/>
                <w:sz w:val="21"/>
                <w:szCs w:val="21"/>
                <w:highlight w:val="none"/>
                <w:lang w:bidi="ar"/>
              </w:rPr>
              <w:t>商务需求</w:t>
            </w:r>
          </w:p>
        </w:tc>
      </w:tr>
      <w:tr w14:paraId="7D7D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2" w:type="dxa"/>
            <w:shd w:val="clear" w:color="auto" w:fill="auto"/>
            <w:vAlign w:val="center"/>
          </w:tcPr>
          <w:p w14:paraId="70041CB4">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r>
              <w:rPr>
                <w:rFonts w:hint="eastAsia" w:ascii="宋体" w:hAnsi="宋体" w:eastAsia="宋体" w:cs="宋体"/>
                <w:b w:val="0"/>
                <w:bCs w:val="0"/>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w:t>
            </w:r>
          </w:p>
        </w:tc>
        <w:tc>
          <w:tcPr>
            <w:tcW w:w="1655" w:type="dxa"/>
            <w:shd w:val="clear" w:color="auto" w:fill="auto"/>
            <w:vAlign w:val="center"/>
          </w:tcPr>
          <w:p w14:paraId="68CE1C3A">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同类业务业绩情况</w:t>
            </w:r>
          </w:p>
        </w:tc>
        <w:tc>
          <w:tcPr>
            <w:tcW w:w="6413" w:type="dxa"/>
            <w:gridSpan w:val="2"/>
            <w:shd w:val="clear" w:color="auto" w:fill="auto"/>
            <w:vAlign w:val="center"/>
          </w:tcPr>
          <w:p w14:paraId="461DBA35">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提供5家已合作项目服务合同的首页和签章页原件扫描件；</w:t>
            </w:r>
          </w:p>
        </w:tc>
      </w:tr>
      <w:tr w14:paraId="0B4B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82" w:type="dxa"/>
            <w:shd w:val="clear" w:color="auto" w:fill="auto"/>
            <w:vAlign w:val="center"/>
          </w:tcPr>
          <w:p w14:paraId="4C246201">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r>
              <w:rPr>
                <w:rFonts w:hint="eastAsia" w:ascii="宋体" w:hAnsi="宋体" w:eastAsia="宋体" w:cs="宋体"/>
                <w:b w:val="0"/>
                <w:bCs w:val="0"/>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w:t>
            </w:r>
          </w:p>
        </w:tc>
        <w:tc>
          <w:tcPr>
            <w:tcW w:w="1655" w:type="dxa"/>
            <w:shd w:val="clear" w:color="auto" w:fill="auto"/>
            <w:vAlign w:val="center"/>
          </w:tcPr>
          <w:p w14:paraId="2AD09F26">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投标人的技术团队和专业能力</w:t>
            </w:r>
          </w:p>
        </w:tc>
        <w:tc>
          <w:tcPr>
            <w:tcW w:w="6413" w:type="dxa"/>
            <w:gridSpan w:val="2"/>
            <w:shd w:val="clear" w:color="auto" w:fill="auto"/>
            <w:vAlign w:val="center"/>
          </w:tcPr>
          <w:p w14:paraId="7C66B572">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根据投标人拟定投入本项目的技术及服务人员</w:t>
            </w:r>
            <w:r>
              <w:rPr>
                <w:rFonts w:hint="eastAsia" w:ascii="宋体" w:hAnsi="宋体" w:eastAsia="宋体" w:cs="宋体"/>
                <w:i w:val="0"/>
                <w:iCs w:val="0"/>
                <w:caps w:val="0"/>
                <w:color w:val="auto"/>
                <w:spacing w:val="0"/>
                <w:sz w:val="21"/>
                <w:szCs w:val="21"/>
                <w:highlight w:val="none"/>
                <w:shd w:val="clear" w:fill="FFFFFF"/>
              </w:rPr>
              <w:t>不少于2人</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宋体" w:hAnsi="宋体" w:eastAsia="宋体" w:cs="宋体"/>
                <w:color w:val="auto"/>
                <w:kern w:val="0"/>
                <w:sz w:val="21"/>
                <w:szCs w:val="21"/>
                <w:highlight w:val="none"/>
                <w:lang w:bidi="ar"/>
              </w:rPr>
              <w:t>具有</w:t>
            </w:r>
            <w:r>
              <w:rPr>
                <w:rFonts w:hint="eastAsia" w:ascii="宋体" w:hAnsi="宋体" w:eastAsia="宋体" w:cs="宋体"/>
                <w:color w:val="auto"/>
                <w:kern w:val="0"/>
                <w:sz w:val="21"/>
                <w:szCs w:val="21"/>
                <w:highlight w:val="none"/>
                <w:lang w:val="en-US" w:eastAsia="zh-CN" w:bidi="ar"/>
              </w:rPr>
              <w:t>计算机技术或软件技术证书</w:t>
            </w:r>
            <w:r>
              <w:rPr>
                <w:rFonts w:hint="eastAsia" w:ascii="宋体" w:hAnsi="宋体" w:eastAsia="宋体" w:cs="宋体"/>
                <w:color w:val="auto"/>
                <w:kern w:val="0"/>
                <w:sz w:val="21"/>
                <w:szCs w:val="21"/>
                <w:highlight w:val="none"/>
                <w:lang w:bidi="ar"/>
              </w:rPr>
              <w:t>。</w:t>
            </w:r>
          </w:p>
        </w:tc>
      </w:tr>
      <w:tr w14:paraId="3041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82" w:type="dxa"/>
            <w:shd w:val="clear" w:color="auto" w:fill="auto"/>
            <w:vAlign w:val="center"/>
          </w:tcPr>
          <w:p w14:paraId="772D6073">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r>
              <w:rPr>
                <w:rFonts w:hint="eastAsia" w:ascii="宋体" w:hAnsi="宋体" w:eastAsia="宋体" w:cs="宋体"/>
                <w:b w:val="0"/>
                <w:bCs w:val="0"/>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w:t>
            </w:r>
          </w:p>
        </w:tc>
        <w:tc>
          <w:tcPr>
            <w:tcW w:w="1655" w:type="dxa"/>
            <w:shd w:val="clear" w:color="auto" w:fill="auto"/>
            <w:vAlign w:val="center"/>
          </w:tcPr>
          <w:p w14:paraId="22DA1D68">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售后服务承诺</w:t>
            </w:r>
          </w:p>
        </w:tc>
        <w:tc>
          <w:tcPr>
            <w:tcW w:w="6413" w:type="dxa"/>
            <w:gridSpan w:val="2"/>
            <w:shd w:val="clear" w:color="auto" w:fill="auto"/>
            <w:vAlign w:val="center"/>
          </w:tcPr>
          <w:p w14:paraId="24A6DB8D">
            <w:pPr>
              <w:widowControl/>
              <w:spacing w:line="24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投标人针对本项目的做出后续服务承诺。</w:t>
            </w:r>
            <w:r>
              <w:rPr>
                <w:rFonts w:hint="eastAsia" w:ascii="宋体" w:hAnsi="宋体" w:eastAsia="宋体" w:cs="宋体"/>
                <w:color w:val="auto"/>
                <w:kern w:val="0"/>
                <w:sz w:val="21"/>
                <w:szCs w:val="21"/>
                <w:highlight w:val="none"/>
                <w:lang w:val="en-US" w:eastAsia="zh-CN" w:bidi="ar"/>
              </w:rPr>
              <w:t xml:space="preserve"> 对于</w:t>
            </w:r>
            <w:r>
              <w:rPr>
                <w:rFonts w:hint="eastAsia" w:ascii="宋体" w:hAnsi="宋体" w:eastAsia="宋体" w:cs="宋体"/>
                <w:color w:val="auto"/>
                <w:kern w:val="0"/>
                <w:sz w:val="21"/>
                <w:szCs w:val="21"/>
                <w:highlight w:val="none"/>
                <w:lang w:bidi="ar"/>
              </w:rPr>
              <w:t>包括但不限于</w:t>
            </w:r>
            <w:r>
              <w:rPr>
                <w:rFonts w:hint="eastAsia" w:ascii="宋体" w:hAnsi="宋体" w:eastAsia="宋体" w:cs="宋体"/>
                <w:color w:val="auto"/>
                <w:kern w:val="0"/>
                <w:sz w:val="21"/>
                <w:szCs w:val="21"/>
                <w:highlight w:val="none"/>
                <w:lang w:val="en-US" w:eastAsia="zh-CN" w:bidi="ar"/>
              </w:rPr>
              <w:t>问题处理</w:t>
            </w:r>
            <w:r>
              <w:rPr>
                <w:rFonts w:hint="eastAsia" w:ascii="宋体" w:hAnsi="宋体" w:eastAsia="宋体" w:cs="宋体"/>
                <w:b w:val="0"/>
                <w:bCs w:val="0"/>
                <w:i w:val="0"/>
                <w:iCs w:val="0"/>
                <w:color w:val="auto"/>
                <w:spacing w:val="7"/>
                <w:sz w:val="21"/>
                <w:szCs w:val="21"/>
                <w:highlight w:val="none"/>
              </w:rPr>
              <w:t>响应时间要求</w:t>
            </w:r>
            <w:r>
              <w:rPr>
                <w:rFonts w:hint="eastAsia" w:ascii="宋体" w:hAnsi="宋体" w:eastAsia="宋体" w:cs="宋体"/>
                <w:color w:val="auto"/>
                <w:kern w:val="0"/>
                <w:sz w:val="21"/>
                <w:szCs w:val="21"/>
                <w:highlight w:val="none"/>
                <w:lang w:bidi="ar"/>
              </w:rPr>
              <w:t>、</w:t>
            </w:r>
            <w:r>
              <w:rPr>
                <w:rFonts w:hint="eastAsia" w:ascii="宋体" w:hAnsi="宋体" w:eastAsia="宋体" w:cs="宋体"/>
                <w:b w:val="0"/>
                <w:bCs w:val="0"/>
                <w:i w:val="0"/>
                <w:iCs w:val="0"/>
                <w:color w:val="auto"/>
                <w:spacing w:val="7"/>
                <w:sz w:val="21"/>
                <w:szCs w:val="21"/>
                <w:highlight w:val="none"/>
              </w:rPr>
              <w:t>系统出现故障时</w:t>
            </w:r>
            <w:r>
              <w:rPr>
                <w:rFonts w:hint="eastAsia" w:ascii="宋体" w:hAnsi="宋体" w:eastAsia="宋体" w:cs="宋体"/>
                <w:color w:val="auto"/>
                <w:kern w:val="0"/>
                <w:sz w:val="21"/>
                <w:szCs w:val="21"/>
                <w:highlight w:val="none"/>
                <w:lang w:bidi="ar"/>
              </w:rPr>
              <w:t>处理</w:t>
            </w:r>
            <w:r>
              <w:rPr>
                <w:rFonts w:hint="eastAsia" w:ascii="宋体" w:hAnsi="宋体" w:eastAsia="宋体" w:cs="宋体"/>
                <w:color w:val="auto"/>
                <w:kern w:val="0"/>
                <w:sz w:val="21"/>
                <w:szCs w:val="21"/>
                <w:highlight w:val="none"/>
                <w:lang w:eastAsia="zh-CN" w:bidi="ar"/>
              </w:rPr>
              <w:t>的</w:t>
            </w:r>
            <w:r>
              <w:rPr>
                <w:rFonts w:hint="eastAsia" w:ascii="宋体" w:hAnsi="宋体" w:eastAsia="宋体" w:cs="宋体"/>
                <w:color w:val="auto"/>
                <w:kern w:val="0"/>
                <w:sz w:val="21"/>
                <w:szCs w:val="21"/>
                <w:highlight w:val="none"/>
                <w:lang w:bidi="ar"/>
              </w:rPr>
              <w:t>承诺和响应。</w:t>
            </w:r>
          </w:p>
        </w:tc>
      </w:tr>
      <w:tr w14:paraId="5F0F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050" w:type="dxa"/>
            <w:gridSpan w:val="4"/>
            <w:shd w:val="clear" w:color="auto" w:fill="auto"/>
            <w:vAlign w:val="center"/>
          </w:tcPr>
          <w:p w14:paraId="5963A723">
            <w:pPr>
              <w:widowControl/>
              <w:spacing w:line="240" w:lineRule="auto"/>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其他</w:t>
            </w:r>
          </w:p>
        </w:tc>
      </w:tr>
      <w:tr w14:paraId="651F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82" w:type="dxa"/>
            <w:shd w:val="clear" w:color="auto" w:fill="auto"/>
            <w:vAlign w:val="center"/>
          </w:tcPr>
          <w:p w14:paraId="7A46D655">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1655" w:type="dxa"/>
            <w:shd w:val="clear" w:color="auto" w:fill="auto"/>
            <w:vAlign w:val="center"/>
          </w:tcPr>
          <w:p w14:paraId="0A997C82">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履约评价</w:t>
            </w:r>
          </w:p>
        </w:tc>
        <w:tc>
          <w:tcPr>
            <w:tcW w:w="6413" w:type="dxa"/>
            <w:gridSpan w:val="2"/>
            <w:shd w:val="clear" w:color="auto" w:fill="auto"/>
            <w:vAlign w:val="center"/>
          </w:tcPr>
          <w:p w14:paraId="3D4A43FE">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近三年在市政府采购中心未有履约评价为差的记录，要求供应商提供承诺函。</w:t>
            </w:r>
          </w:p>
        </w:tc>
      </w:tr>
      <w:tr w14:paraId="4A10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82" w:type="dxa"/>
            <w:shd w:val="clear" w:color="auto" w:fill="auto"/>
            <w:vAlign w:val="center"/>
          </w:tcPr>
          <w:p w14:paraId="7CDAD2A4">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1655" w:type="dxa"/>
            <w:shd w:val="clear" w:color="auto" w:fill="auto"/>
            <w:vAlign w:val="center"/>
          </w:tcPr>
          <w:p w14:paraId="71CFDA42">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诚信评价</w:t>
            </w:r>
          </w:p>
        </w:tc>
        <w:tc>
          <w:tcPr>
            <w:tcW w:w="6413" w:type="dxa"/>
            <w:gridSpan w:val="2"/>
            <w:shd w:val="clear" w:color="auto" w:fill="auto"/>
            <w:vAlign w:val="center"/>
          </w:tcPr>
          <w:p w14:paraId="4DF4F968">
            <w:pPr>
              <w:widowControl/>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投标人在参与政府采购活动中不存在诚信相关问题，须提供《诚信承诺函》。</w:t>
            </w:r>
          </w:p>
        </w:tc>
      </w:tr>
    </w:tbl>
    <w:p w14:paraId="6D39EC09">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p>
    <w:p w14:paraId="479981E9">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四、付款方式：</w:t>
      </w:r>
    </w:p>
    <w:p w14:paraId="6719A860">
      <w:pPr>
        <w:spacing w:line="345" w:lineRule="exact"/>
        <w:ind w:firstLine="420" w:firstLineChars="200"/>
        <w:rPr>
          <w:rFonts w:ascii="Times New Roman" w:hAnsi="Times New Roman" w:cs="Times New Roman"/>
          <w:color w:val="auto"/>
          <w:sz w:val="20"/>
          <w:highlight w:val="none"/>
        </w:rPr>
      </w:pPr>
      <w:r>
        <w:rPr>
          <w:rFonts w:hint="eastAsia" w:ascii="宋体" w:hAnsi="宋体" w:eastAsia="宋体" w:cs="宋体"/>
          <w:color w:val="auto"/>
          <w:sz w:val="21"/>
          <w:szCs w:val="21"/>
          <w:highlight w:val="none"/>
        </w:rPr>
        <w:t>中标人对</w:t>
      </w:r>
      <w:r>
        <w:rPr>
          <w:rFonts w:hint="eastAsia" w:ascii="宋体" w:hAnsi="宋体" w:eastAsia="宋体" w:cs="宋体"/>
          <w:color w:val="auto"/>
          <w:sz w:val="21"/>
          <w:szCs w:val="21"/>
          <w:highlight w:val="none"/>
          <w:lang w:val="en-US" w:eastAsia="zh-CN"/>
        </w:rPr>
        <w:t>服务项目完成</w:t>
      </w:r>
      <w:r>
        <w:rPr>
          <w:rFonts w:hint="eastAsia" w:ascii="宋体" w:hAnsi="宋体" w:eastAsia="宋体" w:cs="宋体"/>
          <w:color w:val="auto"/>
          <w:sz w:val="21"/>
          <w:szCs w:val="21"/>
          <w:highlight w:val="none"/>
        </w:rPr>
        <w:t>后，以</w:t>
      </w:r>
      <w:r>
        <w:rPr>
          <w:rFonts w:hint="eastAsia" w:ascii="宋体" w:hAnsi="宋体" w:eastAsia="宋体" w:cs="宋体"/>
          <w:color w:val="auto"/>
          <w:sz w:val="21"/>
          <w:szCs w:val="21"/>
          <w:highlight w:val="none"/>
          <w:lang w:val="en-US" w:eastAsia="zh-CN"/>
        </w:rPr>
        <w:t>实际服务</w:t>
      </w:r>
      <w:r>
        <w:rPr>
          <w:rFonts w:hint="eastAsia" w:ascii="宋体" w:hAnsi="宋体" w:eastAsia="宋体" w:cs="宋体"/>
          <w:color w:val="auto"/>
          <w:sz w:val="21"/>
          <w:szCs w:val="21"/>
          <w:highlight w:val="none"/>
        </w:rPr>
        <w:t>报告为对账依据，于每月5号前出具上月对账单，在10个工作日内经采购人相关科室核实后再到财务科结算，凭中标人开具的正式全额发票于1个月内以银行转账方式支付</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费用。</w:t>
      </w:r>
    </w:p>
    <w:p w14:paraId="3DFEF12D">
      <w:pPr>
        <w:pStyle w:val="14"/>
        <w:spacing w:before="0" w:beforeAutospacing="0" w:after="0" w:afterAutospacing="0" w:line="360" w:lineRule="auto"/>
        <w:ind w:firstLine="420"/>
        <w:jc w:val="center"/>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第三章 响应文件编制要求</w:t>
      </w:r>
    </w:p>
    <w:p w14:paraId="787715AC">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一、响应文件制作</w:t>
      </w:r>
    </w:p>
    <w:p w14:paraId="0B876EE2">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w:t>
      </w:r>
    </w:p>
    <w:p w14:paraId="65B59044">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（2）投标人应按照“第二章采购需求”的需求内容、责任范围以及合同条款进行报价。并报出总价和分项价格。投标总价中不得包含招标文件要求以外的内容，否则，在评审时不予核减。</w:t>
      </w:r>
    </w:p>
    <w:p w14:paraId="016C7B71">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（3）投标人必须按招标文件指定的格式填写各种报价，各报价应计算正确。除在招标文件另有规定外（如：报折扣、报优惠率等），计量单位应使用中华人民共和国法定计量单位，以人民币填报所有报价。</w:t>
      </w:r>
    </w:p>
    <w:p w14:paraId="39C83F65">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附本次响应文件报价指定格式：</w:t>
      </w:r>
    </w:p>
    <w:p w14:paraId="5234D903">
      <w:pPr>
        <w:pStyle w:val="14"/>
        <w:spacing w:before="0" w:beforeAutospacing="0" w:after="0" w:afterAutospacing="0" w:line="360" w:lineRule="auto"/>
        <w:ind w:firstLine="420"/>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报价一览表</w:t>
      </w:r>
    </w:p>
    <w:p w14:paraId="50762CC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投标人名称：</w:t>
      </w:r>
    </w:p>
    <w:tbl>
      <w:tblPr>
        <w:tblStyle w:val="20"/>
        <w:tblW w:w="8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571"/>
        <w:gridCol w:w="2268"/>
        <w:gridCol w:w="992"/>
        <w:gridCol w:w="1970"/>
        <w:gridCol w:w="955"/>
      </w:tblGrid>
      <w:tr w14:paraId="00FA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0A14661">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序号</w:t>
            </w:r>
          </w:p>
        </w:tc>
        <w:tc>
          <w:tcPr>
            <w:tcW w:w="1571" w:type="dxa"/>
            <w:vAlign w:val="center"/>
          </w:tcPr>
          <w:p w14:paraId="2615E0E4">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内容</w:t>
            </w:r>
          </w:p>
        </w:tc>
        <w:tc>
          <w:tcPr>
            <w:tcW w:w="2268" w:type="dxa"/>
            <w:vAlign w:val="center"/>
          </w:tcPr>
          <w:p w14:paraId="306142A7">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服务内容</w:t>
            </w:r>
          </w:p>
        </w:tc>
        <w:tc>
          <w:tcPr>
            <w:tcW w:w="992" w:type="dxa"/>
            <w:vAlign w:val="center"/>
          </w:tcPr>
          <w:p w14:paraId="1E46C082">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期限</w:t>
            </w:r>
          </w:p>
        </w:tc>
        <w:tc>
          <w:tcPr>
            <w:tcW w:w="1970" w:type="dxa"/>
            <w:vAlign w:val="center"/>
          </w:tcPr>
          <w:p w14:paraId="1B540BC7">
            <w:pPr>
              <w:pStyle w:val="14"/>
              <w:spacing w:before="0" w:beforeAutospacing="0" w:after="0" w:afterAutospacing="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单例收费价格（元）</w:t>
            </w:r>
          </w:p>
        </w:tc>
        <w:tc>
          <w:tcPr>
            <w:tcW w:w="955" w:type="dxa"/>
            <w:vAlign w:val="center"/>
          </w:tcPr>
          <w:p w14:paraId="02548EE3">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备注</w:t>
            </w:r>
          </w:p>
        </w:tc>
      </w:tr>
      <w:tr w14:paraId="2005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F5313CB">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w:t>
            </w:r>
          </w:p>
        </w:tc>
        <w:tc>
          <w:tcPr>
            <w:tcW w:w="1571" w:type="dxa"/>
            <w:vAlign w:val="center"/>
          </w:tcPr>
          <w:p w14:paraId="512B1DD1">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投标报价</w:t>
            </w:r>
          </w:p>
        </w:tc>
        <w:tc>
          <w:tcPr>
            <w:tcW w:w="2268" w:type="dxa"/>
            <w:vAlign w:val="center"/>
          </w:tcPr>
          <w:p w14:paraId="7E23C821">
            <w:pPr>
              <w:pStyle w:val="14"/>
              <w:spacing w:before="0" w:beforeAutospacing="0" w:after="0" w:afterAutospacing="0"/>
              <w:jc w:val="center"/>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远程心电数据服务平台服务项目</w:t>
            </w:r>
          </w:p>
        </w:tc>
        <w:tc>
          <w:tcPr>
            <w:tcW w:w="992" w:type="dxa"/>
            <w:vAlign w:val="center"/>
          </w:tcPr>
          <w:p w14:paraId="3DC1A368">
            <w:pPr>
              <w:pStyle w:val="14"/>
              <w:spacing w:before="0" w:beforeAutospacing="0" w:after="0" w:afterAutospacing="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1年</w:t>
            </w:r>
          </w:p>
        </w:tc>
        <w:tc>
          <w:tcPr>
            <w:tcW w:w="1970" w:type="dxa"/>
            <w:vAlign w:val="center"/>
          </w:tcPr>
          <w:p w14:paraId="48A6ABB7">
            <w:pPr>
              <w:pStyle w:val="14"/>
              <w:spacing w:before="0" w:beforeAutospacing="0" w:after="0" w:afterAutospacing="0"/>
              <w:jc w:val="center"/>
              <w:rPr>
                <w:rFonts w:hint="eastAsia" w:ascii="宋体" w:hAnsi="宋体" w:eastAsia="宋体" w:cs="宋体"/>
                <w:color w:val="auto"/>
                <w:sz w:val="21"/>
                <w:szCs w:val="21"/>
                <w:highlight w:val="none"/>
                <w:lang w:val="en-US" w:eastAsia="zh-CN"/>
              </w:rPr>
            </w:pPr>
          </w:p>
        </w:tc>
        <w:tc>
          <w:tcPr>
            <w:tcW w:w="955" w:type="dxa"/>
            <w:vAlign w:val="center"/>
          </w:tcPr>
          <w:p w14:paraId="3D166AA4">
            <w:pPr>
              <w:pStyle w:val="14"/>
              <w:spacing w:before="0" w:beforeAutospacing="0" w:after="0" w:afterAutospacing="0"/>
              <w:jc w:val="center"/>
              <w:rPr>
                <w:rFonts w:hint="eastAsia" w:ascii="宋体" w:hAnsi="宋体" w:eastAsia="宋体" w:cs="宋体"/>
                <w:color w:val="000000"/>
                <w:kern w:val="2"/>
                <w:sz w:val="21"/>
                <w:szCs w:val="21"/>
                <w:highlight w:val="none"/>
                <w:lang w:val="en-US" w:eastAsia="zh-CN"/>
              </w:rPr>
            </w:pPr>
          </w:p>
        </w:tc>
      </w:tr>
      <w:tr w14:paraId="55CE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shd w:val="clear" w:color="auto" w:fill="auto"/>
            <w:vAlign w:val="center"/>
          </w:tcPr>
          <w:p w14:paraId="2A6393E4">
            <w:pPr>
              <w:pStyle w:val="14"/>
              <w:spacing w:before="0" w:beforeAutospacing="0" w:after="0" w:afterAutospacing="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2</w:t>
            </w:r>
          </w:p>
        </w:tc>
        <w:tc>
          <w:tcPr>
            <w:tcW w:w="1571" w:type="dxa"/>
            <w:shd w:val="clear" w:color="auto" w:fill="auto"/>
            <w:vAlign w:val="center"/>
          </w:tcPr>
          <w:p w14:paraId="321AC9F6">
            <w:pPr>
              <w:pStyle w:val="14"/>
              <w:spacing w:before="0" w:beforeAutospacing="0" w:after="0" w:afterAutospacing="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投标有效期</w:t>
            </w:r>
          </w:p>
        </w:tc>
        <w:tc>
          <w:tcPr>
            <w:tcW w:w="2268" w:type="dxa"/>
            <w:vAlign w:val="center"/>
          </w:tcPr>
          <w:p w14:paraId="76D53EC4">
            <w:pPr>
              <w:pStyle w:val="14"/>
              <w:spacing w:before="0" w:beforeAutospacing="0" w:after="0" w:afterAutospacing="0"/>
              <w:jc w:val="center"/>
              <w:rPr>
                <w:rFonts w:hint="eastAsia" w:ascii="宋体" w:hAnsi="宋体" w:eastAsia="宋体" w:cs="宋体"/>
                <w:color w:val="auto"/>
                <w:sz w:val="21"/>
                <w:szCs w:val="21"/>
                <w:highlight w:val="none"/>
              </w:rPr>
            </w:pPr>
          </w:p>
        </w:tc>
        <w:tc>
          <w:tcPr>
            <w:tcW w:w="992" w:type="dxa"/>
            <w:vAlign w:val="center"/>
          </w:tcPr>
          <w:p w14:paraId="6E863B16">
            <w:pPr>
              <w:pStyle w:val="14"/>
              <w:spacing w:before="0" w:beforeAutospacing="0" w:after="0" w:afterAutospacing="0"/>
              <w:jc w:val="center"/>
              <w:rPr>
                <w:rFonts w:hint="eastAsia" w:ascii="宋体" w:hAnsi="宋体" w:eastAsia="宋体" w:cs="宋体"/>
                <w:color w:val="000000"/>
                <w:kern w:val="2"/>
                <w:sz w:val="21"/>
                <w:szCs w:val="21"/>
                <w:highlight w:val="none"/>
              </w:rPr>
            </w:pPr>
          </w:p>
        </w:tc>
        <w:tc>
          <w:tcPr>
            <w:tcW w:w="1970" w:type="dxa"/>
            <w:vAlign w:val="center"/>
          </w:tcPr>
          <w:p w14:paraId="39F564FC">
            <w:pPr>
              <w:pStyle w:val="14"/>
              <w:spacing w:before="0" w:beforeAutospacing="0" w:after="0" w:afterAutospacing="0"/>
              <w:jc w:val="center"/>
              <w:rPr>
                <w:rFonts w:hint="eastAsia" w:ascii="宋体" w:hAnsi="宋体" w:eastAsia="宋体" w:cs="宋体"/>
                <w:color w:val="auto"/>
                <w:sz w:val="21"/>
                <w:szCs w:val="21"/>
                <w:highlight w:val="none"/>
                <w:lang w:val="en-US" w:eastAsia="zh-CN"/>
              </w:rPr>
            </w:pPr>
          </w:p>
        </w:tc>
        <w:tc>
          <w:tcPr>
            <w:tcW w:w="955" w:type="dxa"/>
            <w:vAlign w:val="center"/>
          </w:tcPr>
          <w:p w14:paraId="424989D2">
            <w:pPr>
              <w:pStyle w:val="14"/>
              <w:spacing w:before="0" w:beforeAutospacing="0" w:after="0" w:afterAutospacing="0"/>
              <w:jc w:val="center"/>
              <w:rPr>
                <w:rFonts w:hint="eastAsia" w:ascii="宋体" w:hAnsi="宋体" w:eastAsia="宋体" w:cs="宋体"/>
                <w:color w:val="000000"/>
                <w:kern w:val="2"/>
                <w:sz w:val="21"/>
                <w:szCs w:val="21"/>
                <w:highlight w:val="none"/>
                <w:lang w:val="en-US" w:eastAsia="zh-CN"/>
              </w:rPr>
            </w:pPr>
          </w:p>
        </w:tc>
      </w:tr>
    </w:tbl>
    <w:p w14:paraId="73B0D83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注：1.投标人须按要求填写所有信息。</w:t>
      </w:r>
    </w:p>
    <w:p w14:paraId="27E368B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投标人法定代表人（或法定代表人授权代表）签字：</w:t>
      </w:r>
    </w:p>
    <w:p w14:paraId="5A35135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投标人名称（加盖公章）：</w:t>
      </w:r>
    </w:p>
    <w:p w14:paraId="4133C8C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日期：</w:t>
      </w:r>
    </w:p>
    <w:p w14:paraId="7AAB0BEE">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（4）投标文件以及投标人与采购人、代理机构就有关投标的往来函电均应使用中文。投标人提交的支持性文件和印制的文件可以用另一种语言，但相应内容应翻译成中文，在解释投标文件时以中文文本为准。</w:t>
      </w:r>
    </w:p>
    <w:p w14:paraId="0EF590CA">
      <w:pPr>
        <w:keepNext w:val="0"/>
        <w:keepLines w:val="0"/>
        <w:pageBreakBefore w:val="0"/>
        <w:widowControl w:val="0"/>
        <w:kinsoku/>
        <w:wordWrap/>
        <w:overflowPunct/>
        <w:topLinePunct w:val="0"/>
        <w:autoSpaceDE w:val="0"/>
        <w:autoSpaceDN w:val="0"/>
        <w:bidi w:val="0"/>
        <w:adjustRightInd w:val="0"/>
        <w:snapToGrid/>
        <w:spacing w:line="345" w:lineRule="exact"/>
        <w:ind w:firstLine="422" w:firstLineChars="200"/>
        <w:jc w:val="left"/>
        <w:textAlignment w:val="auto"/>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二、投标文件提交</w:t>
      </w:r>
    </w:p>
    <w:p w14:paraId="7DC05B70">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（1）仅受理纸质响应文件，纸质材料一式五份（正本1份/副本4份）。</w:t>
      </w:r>
    </w:p>
    <w:p w14:paraId="5780D185">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（2）提交地点：广州市荔湾区多宝路63号广州医科大学附属第三医院行政办公楼3楼医务科</w:t>
      </w:r>
    </w:p>
    <w:p w14:paraId="03F2C2A6">
      <w:pPr>
        <w:pStyle w:val="14"/>
        <w:spacing w:before="0" w:beforeAutospacing="0" w:after="0" w:afterAutospacing="0" w:line="360" w:lineRule="auto"/>
        <w:ind w:firstLine="420"/>
        <w:rPr>
          <w:rFonts w:hint="eastAsia" w:ascii="宋体" w:hAnsi="宋体" w:eastAsia="宋体" w:cs="宋体"/>
          <w:color w:val="auto"/>
          <w:kern w:val="2"/>
          <w:sz w:val="21"/>
          <w:szCs w:val="21"/>
          <w:highlight w:val="none"/>
        </w:rPr>
      </w:pPr>
      <w:r>
        <w:rPr>
          <w:rFonts w:hint="eastAsia" w:ascii="宋体" w:hAnsi="宋体" w:eastAsia="宋体" w:cs="宋体"/>
          <w:color w:val="000000"/>
          <w:kern w:val="2"/>
          <w:sz w:val="21"/>
          <w:szCs w:val="21"/>
          <w:highlight w:val="none"/>
        </w:rPr>
        <w:t>（3）截止时间</w:t>
      </w:r>
      <w:r>
        <w:rPr>
          <w:rFonts w:hint="eastAsia" w:ascii="宋体" w:hAnsi="宋体" w:eastAsia="宋体" w:cs="宋体"/>
          <w:color w:val="auto"/>
          <w:kern w:val="2"/>
          <w:sz w:val="21"/>
          <w:szCs w:val="21"/>
          <w:highlight w:val="none"/>
        </w:rPr>
        <w:t>：20</w:t>
      </w:r>
      <w:r>
        <w:rPr>
          <w:rFonts w:hint="eastAsia" w:ascii="宋体" w:hAnsi="宋体" w:eastAsia="宋体" w:cs="宋体"/>
          <w:color w:val="auto"/>
          <w:kern w:val="2"/>
          <w:sz w:val="21"/>
          <w:szCs w:val="21"/>
          <w:highlight w:val="none"/>
          <w:lang w:val="en-US" w:eastAsia="zh-CN"/>
        </w:rPr>
        <w:t>26</w:t>
      </w:r>
      <w:r>
        <w:rPr>
          <w:rFonts w:hint="eastAsia" w:ascii="宋体" w:hAnsi="宋体" w:eastAsia="宋体" w:cs="宋体"/>
          <w:color w:val="auto"/>
          <w:kern w:val="2"/>
          <w:sz w:val="21"/>
          <w:szCs w:val="21"/>
          <w:highlight w:val="none"/>
        </w:rPr>
        <w:t>年</w:t>
      </w:r>
      <w:r>
        <w:rPr>
          <w:rFonts w:hint="eastAsia"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rPr>
        <w:t>月</w:t>
      </w:r>
      <w:r>
        <w:rPr>
          <w:rFonts w:hint="eastAsia"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日1</w:t>
      </w:r>
      <w:r>
        <w:rPr>
          <w:rFonts w:hint="eastAsia"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:00。</w:t>
      </w:r>
    </w:p>
    <w:p w14:paraId="1321F9ED">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（4）出现下述情形之一，属于未成功提交投标文件，按无效投标处理：</w:t>
      </w:r>
    </w:p>
    <w:p w14:paraId="197DC59A">
      <w:pPr>
        <w:pStyle w:val="14"/>
        <w:spacing w:before="0" w:beforeAutospacing="0" w:after="0" w:afterAutospacing="0" w:line="360" w:lineRule="auto"/>
        <w:ind w:firstLine="630" w:firstLineChars="3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1、至</w:t>
      </w:r>
      <w:r>
        <w:rPr>
          <w:rFonts w:hint="eastAsia" w:cs="宋体"/>
          <w:color w:val="000000"/>
          <w:kern w:val="2"/>
          <w:sz w:val="21"/>
          <w:szCs w:val="21"/>
          <w:highlight w:val="none"/>
          <w:lang w:val="en-US" w:eastAsia="zh-CN"/>
        </w:rPr>
        <w:t>截止时间</w:t>
      </w:r>
      <w:r>
        <w:rPr>
          <w:rFonts w:hint="eastAsia" w:ascii="宋体" w:hAnsi="宋体" w:eastAsia="宋体" w:cs="宋体"/>
          <w:color w:val="000000"/>
          <w:kern w:val="2"/>
          <w:sz w:val="21"/>
          <w:szCs w:val="21"/>
          <w:highlight w:val="none"/>
        </w:rPr>
        <w:t>，投标文件未完整</w:t>
      </w:r>
      <w:r>
        <w:rPr>
          <w:rFonts w:hint="eastAsia" w:cs="宋体"/>
          <w:color w:val="000000"/>
          <w:kern w:val="2"/>
          <w:sz w:val="21"/>
          <w:szCs w:val="21"/>
          <w:highlight w:val="none"/>
          <w:lang w:val="en-US" w:eastAsia="zh-CN"/>
        </w:rPr>
        <w:t>提交的</w:t>
      </w:r>
      <w:r>
        <w:rPr>
          <w:rFonts w:hint="eastAsia" w:ascii="宋体" w:hAnsi="宋体" w:eastAsia="宋体" w:cs="宋体"/>
          <w:color w:val="000000"/>
          <w:kern w:val="2"/>
          <w:sz w:val="21"/>
          <w:szCs w:val="21"/>
          <w:highlight w:val="none"/>
        </w:rPr>
        <w:t>的。</w:t>
      </w:r>
    </w:p>
    <w:p w14:paraId="091269E2">
      <w:pPr>
        <w:pStyle w:val="14"/>
        <w:spacing w:before="0" w:beforeAutospacing="0" w:after="0" w:afterAutospacing="0" w:line="360" w:lineRule="auto"/>
        <w:ind w:firstLine="630" w:firstLineChars="3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2、投标文件未按投标格式中注明需签字盖章的要求进行签名或签名印章不完整的。</w:t>
      </w:r>
    </w:p>
    <w:p w14:paraId="2274BAC7">
      <w:pPr>
        <w:pStyle w:val="14"/>
        <w:spacing w:before="0" w:beforeAutospacing="0" w:after="0" w:afterAutospacing="0" w:line="360" w:lineRule="auto"/>
        <w:ind w:firstLine="630" w:firstLineChars="3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3、投标文件损坏或不正确的。</w:t>
      </w:r>
    </w:p>
    <w:p w14:paraId="732E1631">
      <w:pPr>
        <w:pStyle w:val="14"/>
        <w:spacing w:before="0" w:beforeAutospacing="0" w:after="0" w:afterAutospacing="0" w:line="360" w:lineRule="auto"/>
        <w:ind w:firstLine="630" w:firstLineChars="3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4、投标文件应按照《政府采购货物和服务招标投标管理办法》（财政部令第87号）的要求招密封投标文件。</w:t>
      </w:r>
    </w:p>
    <w:p w14:paraId="4A1654F4">
      <w:pPr>
        <w:pStyle w:val="14"/>
        <w:spacing w:before="0" w:beforeAutospacing="0" w:after="0" w:afterAutospacing="0" w:line="360" w:lineRule="auto"/>
        <w:ind w:firstLine="420"/>
        <w:rPr>
          <w:rFonts w:ascii="Times New Roman" w:hAnsi="Times New Roman" w:cs="Times New Roman" w:eastAsiaTheme="minorEastAsia"/>
          <w:color w:val="000000"/>
          <w:highlight w:val="none"/>
        </w:rPr>
      </w:pPr>
      <w:r>
        <w:rPr>
          <w:rFonts w:ascii="Times New Roman" w:hAnsi="Times New Roman" w:cs="Times New Roman" w:eastAsiaTheme="minorEastAsia"/>
          <w:color w:val="000000"/>
          <w:highlight w:val="none"/>
        </w:rPr>
        <w:br w:type="page"/>
      </w:r>
    </w:p>
    <w:p w14:paraId="55C5F7EB">
      <w:pPr>
        <w:pStyle w:val="14"/>
        <w:spacing w:before="0" w:beforeAutospacing="0" w:after="0" w:afterAutospacing="0" w:line="360" w:lineRule="auto"/>
        <w:ind w:firstLine="420"/>
        <w:jc w:val="center"/>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第四章 开标与评标</w:t>
      </w:r>
    </w:p>
    <w:p w14:paraId="26C4E610">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一、开标</w:t>
      </w:r>
    </w:p>
    <w:p w14:paraId="6ABAB8AB">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1、招标工作人员按广州医科大学附属第三医院采购管理制度规定进行开标。</w:t>
      </w:r>
    </w:p>
    <w:p w14:paraId="184B758E">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二、评标</w:t>
      </w:r>
    </w:p>
    <w:p w14:paraId="21E97E9D">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1、评标方法</w:t>
      </w:r>
    </w:p>
    <w:p w14:paraId="15AAFF17">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采购包1</w:t>
      </w:r>
      <w:r>
        <w:rPr>
          <w:rFonts w:hint="eastAsia" w:ascii="宋体" w:hAnsi="宋体" w:eastAsia="宋体" w:cs="宋体"/>
          <w:color w:val="auto"/>
          <w:kern w:val="2"/>
          <w:sz w:val="21"/>
          <w:szCs w:val="21"/>
          <w:highlight w:val="none"/>
        </w:rPr>
        <w:t>(</w:t>
      </w:r>
      <w:r>
        <w:rPr>
          <w:rFonts w:hint="eastAsia" w:ascii="宋体" w:hAnsi="宋体" w:eastAsia="宋体" w:cs="宋体"/>
          <w:color w:val="auto"/>
          <w:sz w:val="21"/>
          <w:szCs w:val="21"/>
          <w:highlight w:val="none"/>
        </w:rPr>
        <w:t>远程心电数据服务平台服务项目</w:t>
      </w:r>
      <w:r>
        <w:rPr>
          <w:rFonts w:hint="eastAsia" w:ascii="宋体" w:hAnsi="宋体" w:eastAsia="宋体" w:cs="宋体"/>
          <w:color w:val="auto"/>
          <w:kern w:val="2"/>
          <w:sz w:val="21"/>
          <w:szCs w:val="21"/>
          <w:highlight w:val="none"/>
        </w:rPr>
        <w:t>)</w:t>
      </w:r>
      <w:r>
        <w:rPr>
          <w:rFonts w:hint="eastAsia" w:ascii="宋体" w:hAnsi="宋体" w:eastAsia="宋体" w:cs="宋体"/>
          <w:color w:val="000000"/>
          <w:kern w:val="2"/>
          <w:sz w:val="21"/>
          <w:szCs w:val="21"/>
          <w:highlight w:val="none"/>
        </w:rPr>
        <w:t>：综合评分法,是指投标文件满足招标文件全部实质性要求，且按照评审因素的量化指标评审得分最高的投标人为中标候选人的评标方法。（最低报价不是中标的唯一依据。）</w:t>
      </w:r>
    </w:p>
    <w:p w14:paraId="5C08D5B8">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2、评标原则</w:t>
      </w:r>
    </w:p>
    <w:p w14:paraId="59FBCECE">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1）评标活动遵循公平、公正、科学和择优的原则，以招标文件和投标文件为评标的基本依据，并按照招标文件规定的评标方法和评标标准进行评标。</w:t>
      </w:r>
    </w:p>
    <w:p w14:paraId="2C39A24F">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2）具体评标事项由评标委员会负责，并按招标文件的规定办法进行评审。</w:t>
      </w:r>
    </w:p>
    <w:p w14:paraId="3A1472A3">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3）合格投标人不足3家有效供应商家数的，不得评标。</w:t>
      </w:r>
    </w:p>
    <w:p w14:paraId="22504C6E">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3、评标委员会大学附属第三医院采购工作人员</w:t>
      </w:r>
    </w:p>
    <w:p w14:paraId="3F75421B">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kern w:val="2"/>
          <w:sz w:val="21"/>
          <w:szCs w:val="21"/>
          <w:highlight w:val="none"/>
        </w:rPr>
        <w:t>评标委员会由广州医科抽取评审专家组成，成员人数应当为5人及以上单数，其中评审专家不少于成员总数的三分之二</w:t>
      </w:r>
      <w:r>
        <w:rPr>
          <w:rFonts w:hint="eastAsia" w:cs="宋体"/>
          <w:color w:val="000000"/>
          <w:kern w:val="2"/>
          <w:sz w:val="21"/>
          <w:szCs w:val="21"/>
          <w:highlight w:val="none"/>
          <w:lang w:eastAsia="zh-CN"/>
        </w:rPr>
        <w:t>。</w:t>
      </w:r>
    </w:p>
    <w:p w14:paraId="1075CF9E">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4、院内评标会时间地点院方自定，投标人无需参加。</w:t>
      </w:r>
    </w:p>
    <w:p w14:paraId="12AA90A8">
      <w:pPr>
        <w:keepNext w:val="0"/>
        <w:keepLines w:val="0"/>
        <w:pageBreakBefore w:val="0"/>
        <w:widowControl w:val="0"/>
        <w:kinsoku/>
        <w:wordWrap/>
        <w:overflowPunct/>
        <w:topLinePunct w:val="0"/>
        <w:autoSpaceDE w:val="0"/>
        <w:autoSpaceDN w:val="0"/>
        <w:bidi w:val="0"/>
        <w:adjustRightInd w:val="0"/>
        <w:snapToGrid/>
        <w:spacing w:line="345" w:lineRule="exact"/>
        <w:ind w:firstLine="482" w:firstLineChars="200"/>
        <w:jc w:val="left"/>
        <w:textAlignment w:val="auto"/>
        <w:rPr>
          <w:rFonts w:hint="eastAsia" w:ascii="Times New Roman" w:hAnsi="Times New Roman" w:eastAsia="宋体" w:cs="Times New Roman"/>
          <w:b/>
          <w:bCs/>
          <w:color w:val="000000"/>
          <w:kern w:val="0"/>
          <w:sz w:val="24"/>
          <w:szCs w:val="24"/>
          <w:highlight w:val="none"/>
        </w:rPr>
      </w:pPr>
      <w:r>
        <w:rPr>
          <w:rFonts w:hint="eastAsia" w:ascii="Times New Roman" w:hAnsi="Times New Roman" w:eastAsia="宋体" w:cs="Times New Roman"/>
          <w:b/>
          <w:bCs/>
          <w:color w:val="000000"/>
          <w:kern w:val="0"/>
          <w:sz w:val="24"/>
          <w:szCs w:val="24"/>
          <w:highlight w:val="none"/>
        </w:rPr>
        <w:t>三、评审标准</w:t>
      </w:r>
    </w:p>
    <w:p w14:paraId="347C2F9C">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（一）符合性审查</w:t>
      </w:r>
    </w:p>
    <w:p w14:paraId="1B3B3E74">
      <w:pPr>
        <w:pStyle w:val="14"/>
        <w:spacing w:before="0" w:beforeAutospacing="0" w:after="0" w:afterAutospacing="0" w:line="360" w:lineRule="auto"/>
        <w:ind w:firstLine="420"/>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《符合性审查表》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078"/>
      </w:tblGrid>
      <w:tr w14:paraId="22F2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AD7A641">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序号</w:t>
            </w:r>
          </w:p>
        </w:tc>
        <w:tc>
          <w:tcPr>
            <w:tcW w:w="8078" w:type="dxa"/>
          </w:tcPr>
          <w:p w14:paraId="4E11FBB5">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内容</w:t>
            </w:r>
          </w:p>
        </w:tc>
      </w:tr>
      <w:tr w14:paraId="2A66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D85327B">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w:t>
            </w:r>
          </w:p>
        </w:tc>
        <w:tc>
          <w:tcPr>
            <w:tcW w:w="8078" w:type="dxa"/>
            <w:vAlign w:val="center"/>
          </w:tcPr>
          <w:p w14:paraId="39EE6317">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投标报价：</w:t>
            </w:r>
          </w:p>
          <w:p w14:paraId="095C2AFF">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1）投标报价未超过本项目最高限价</w:t>
            </w:r>
          </w:p>
          <w:p w14:paraId="2FEA309C">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2）对全部招标内容进行投标报价</w:t>
            </w:r>
          </w:p>
          <w:p w14:paraId="46579E73">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3）投标报价是唯一确定的</w:t>
            </w:r>
          </w:p>
        </w:tc>
      </w:tr>
      <w:tr w14:paraId="0239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6008C55">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w:t>
            </w:r>
          </w:p>
        </w:tc>
        <w:tc>
          <w:tcPr>
            <w:tcW w:w="8078" w:type="dxa"/>
            <w:vAlign w:val="center"/>
          </w:tcPr>
          <w:p w14:paraId="4E147783">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提供《投标函》，报价有效期为报价截止日后的90天</w:t>
            </w:r>
          </w:p>
        </w:tc>
      </w:tr>
      <w:tr w14:paraId="3463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7D76F057">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w:t>
            </w:r>
          </w:p>
        </w:tc>
        <w:tc>
          <w:tcPr>
            <w:tcW w:w="8078" w:type="dxa"/>
            <w:vAlign w:val="center"/>
          </w:tcPr>
          <w:p w14:paraId="56EF462C">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法定代表人证明书及授权委托书：按对应格式文件签署、盖章（原件）</w:t>
            </w:r>
          </w:p>
        </w:tc>
      </w:tr>
      <w:tr w14:paraId="20C0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789F5B86">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w:t>
            </w:r>
          </w:p>
        </w:tc>
        <w:tc>
          <w:tcPr>
            <w:tcW w:w="8078" w:type="dxa"/>
            <w:vAlign w:val="center"/>
          </w:tcPr>
          <w:p w14:paraId="14872C6D">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投标文件按照投标文件规定要求签署、盖章</w:t>
            </w:r>
          </w:p>
        </w:tc>
      </w:tr>
      <w:tr w14:paraId="5644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4699ABB">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w:t>
            </w:r>
          </w:p>
        </w:tc>
        <w:tc>
          <w:tcPr>
            <w:tcW w:w="8078" w:type="dxa"/>
            <w:vAlign w:val="center"/>
          </w:tcPr>
          <w:p w14:paraId="6261A005">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实质性响应招标文件中“</w:t>
            </w:r>
            <w:r>
              <w:rPr>
                <w:rFonts w:hint="eastAsia" w:ascii="宋体" w:hAnsi="宋体" w:eastAsia="宋体" w:cs="宋体"/>
                <w:sz w:val="21"/>
                <w:szCs w:val="21"/>
                <w:highlight w:val="none"/>
                <w:shd w:val="clear" w:color="auto" w:fill="FFFFFF"/>
              </w:rPr>
              <w:t>★</w:t>
            </w:r>
            <w:r>
              <w:rPr>
                <w:rFonts w:hint="eastAsia" w:ascii="宋体" w:hAnsi="宋体" w:eastAsia="宋体" w:cs="宋体"/>
                <w:color w:val="000000"/>
                <w:kern w:val="2"/>
                <w:sz w:val="21"/>
                <w:szCs w:val="21"/>
                <w:highlight w:val="none"/>
              </w:rPr>
              <w:t>”号条款的服务、商务要求：投标方案不得对实质性服务与商务的（即标注★号条款）条款产生偏离</w:t>
            </w:r>
          </w:p>
        </w:tc>
      </w:tr>
      <w:tr w14:paraId="4828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698C7F0">
            <w:pPr>
              <w:pStyle w:val="14"/>
              <w:spacing w:before="0" w:beforeAutospacing="0" w:after="0" w:afterAutospacing="0" w:line="360" w:lineRule="auto"/>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w:t>
            </w:r>
          </w:p>
        </w:tc>
        <w:tc>
          <w:tcPr>
            <w:tcW w:w="8078" w:type="dxa"/>
            <w:vAlign w:val="center"/>
          </w:tcPr>
          <w:p w14:paraId="4E3AFDD4">
            <w:pPr>
              <w:pStyle w:val="14"/>
              <w:spacing w:before="0" w:beforeAutospacing="0" w:after="0" w:afterAutospacing="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实质性响应招标文件中规定的其它情况</w:t>
            </w:r>
          </w:p>
        </w:tc>
      </w:tr>
    </w:tbl>
    <w:p w14:paraId="594F076E">
      <w:pPr>
        <w:pStyle w:val="14"/>
        <w:spacing w:before="0" w:beforeAutospacing="0" w:after="0" w:afterAutospacing="0" w:line="360" w:lineRule="auto"/>
        <w:ind w:firstLine="420"/>
        <w:rPr>
          <w:rFonts w:hint="eastAsia" w:ascii="宋体" w:hAnsi="宋体" w:eastAsia="宋体" w:cs="宋体"/>
          <w:color w:val="000000"/>
          <w:kern w:val="2"/>
          <w:sz w:val="21"/>
          <w:szCs w:val="21"/>
          <w:highlight w:val="none"/>
        </w:rPr>
      </w:pPr>
    </w:p>
    <w:p w14:paraId="47DCFE06">
      <w:pPr>
        <w:pStyle w:val="14"/>
        <w:spacing w:before="0" w:beforeAutospacing="0" w:after="0" w:afterAutospacing="0" w:line="360" w:lineRule="auto"/>
        <w:ind w:left="141" w:leftChars="67" w:firstLine="278"/>
        <w:rPr>
          <w:rFonts w:hint="eastAsia" w:ascii="宋体" w:hAnsi="宋体" w:eastAsia="宋体" w:cs="宋体"/>
          <w:b/>
          <w:bCs/>
          <w:color w:val="000000"/>
          <w:sz w:val="21"/>
          <w:szCs w:val="21"/>
          <w:highlight w:val="none"/>
        </w:rPr>
      </w:pPr>
    </w:p>
    <w:p w14:paraId="0409F7B6">
      <w:pPr>
        <w:pStyle w:val="14"/>
        <w:spacing w:before="0" w:beforeAutospacing="0" w:after="0" w:afterAutospacing="0" w:line="360" w:lineRule="auto"/>
        <w:ind w:left="141" w:leftChars="67" w:firstLine="278"/>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详细评审表：</w:t>
      </w:r>
    </w:p>
    <w:tbl>
      <w:tblPr>
        <w:tblStyle w:val="19"/>
        <w:tblW w:w="9241" w:type="dxa"/>
        <w:jc w:val="center"/>
        <w:tblLayout w:type="fixed"/>
        <w:tblCellMar>
          <w:top w:w="0" w:type="dxa"/>
          <w:left w:w="108" w:type="dxa"/>
          <w:bottom w:w="0" w:type="dxa"/>
          <w:right w:w="108" w:type="dxa"/>
        </w:tblCellMar>
      </w:tblPr>
      <w:tblGrid>
        <w:gridCol w:w="514"/>
        <w:gridCol w:w="804"/>
        <w:gridCol w:w="1150"/>
        <w:gridCol w:w="700"/>
        <w:gridCol w:w="6073"/>
      </w:tblGrid>
      <w:tr w14:paraId="3E0E8C4D">
        <w:tblPrEx>
          <w:tblCellMar>
            <w:top w:w="0" w:type="dxa"/>
            <w:left w:w="108" w:type="dxa"/>
            <w:bottom w:w="0" w:type="dxa"/>
            <w:right w:w="108" w:type="dxa"/>
          </w:tblCellMar>
        </w:tblPrEx>
        <w:trPr>
          <w:trHeight w:val="260" w:hRule="atLeast"/>
          <w:jc w:val="center"/>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B831">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2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6F6AF">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评分项</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6AF7">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权重</w:t>
            </w:r>
          </w:p>
        </w:tc>
      </w:tr>
      <w:tr w14:paraId="72DA5241">
        <w:tblPrEx>
          <w:tblCellMar>
            <w:top w:w="0" w:type="dxa"/>
            <w:left w:w="108" w:type="dxa"/>
            <w:bottom w:w="0" w:type="dxa"/>
            <w:right w:w="108" w:type="dxa"/>
          </w:tblCellMar>
        </w:tblPrEx>
        <w:trPr>
          <w:trHeight w:val="280" w:hRule="atLeast"/>
          <w:jc w:val="center"/>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94881">
            <w:pPr>
              <w:widowControl/>
              <w:spacing w:line="288" w:lineRule="auto"/>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2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F513B">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价格</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3282">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10</w:t>
            </w:r>
          </w:p>
        </w:tc>
      </w:tr>
      <w:tr w14:paraId="1A76A5AE">
        <w:tblPrEx>
          <w:tblCellMar>
            <w:top w:w="0" w:type="dxa"/>
            <w:left w:w="108" w:type="dxa"/>
            <w:bottom w:w="0" w:type="dxa"/>
            <w:right w:w="108" w:type="dxa"/>
          </w:tblCellMar>
        </w:tblPrEx>
        <w:trPr>
          <w:trHeight w:val="9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28E2F">
            <w:pPr>
              <w:spacing w:line="288" w:lineRule="auto"/>
              <w:jc w:val="center"/>
              <w:rPr>
                <w:rFonts w:hint="eastAsia" w:ascii="宋体" w:hAnsi="宋体" w:eastAsia="宋体" w:cs="宋体"/>
                <w:color w:val="000000"/>
                <w:sz w:val="21"/>
                <w:szCs w:val="21"/>
                <w:highlight w:val="none"/>
              </w:rPr>
            </w:pPr>
          </w:p>
        </w:tc>
        <w:tc>
          <w:tcPr>
            <w:tcW w:w="87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65839A">
            <w:pPr>
              <w:spacing w:line="288" w:lineRule="auto"/>
              <w:jc w:val="center"/>
              <w:rPr>
                <w:rFonts w:hint="eastAsia" w:ascii="宋体" w:hAnsi="宋体" w:eastAsia="宋体" w:cs="宋体"/>
                <w:color w:val="000000"/>
                <w:sz w:val="21"/>
                <w:szCs w:val="21"/>
                <w:highlight w:val="none"/>
              </w:rPr>
            </w:pPr>
          </w:p>
        </w:tc>
      </w:tr>
      <w:tr w14:paraId="1DF4E8C9">
        <w:tblPrEx>
          <w:tblCellMar>
            <w:top w:w="0" w:type="dxa"/>
            <w:left w:w="108" w:type="dxa"/>
            <w:bottom w:w="0" w:type="dxa"/>
            <w:right w:w="108" w:type="dxa"/>
          </w:tblCellMar>
        </w:tblPrEx>
        <w:trPr>
          <w:trHeight w:val="340" w:hRule="atLeast"/>
          <w:jc w:val="center"/>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ECBEB">
            <w:pPr>
              <w:widowControl/>
              <w:spacing w:line="288" w:lineRule="auto"/>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2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1C9B1">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技术部分</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648A">
            <w:pPr>
              <w:widowControl/>
              <w:spacing w:line="288" w:lineRule="auto"/>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55</w:t>
            </w:r>
          </w:p>
        </w:tc>
      </w:tr>
      <w:tr w14:paraId="3547F626">
        <w:tblPrEx>
          <w:tblCellMar>
            <w:top w:w="0" w:type="dxa"/>
            <w:left w:w="108" w:type="dxa"/>
            <w:bottom w:w="0" w:type="dxa"/>
            <w:right w:w="108" w:type="dxa"/>
          </w:tblCellMar>
        </w:tblPrEx>
        <w:trPr>
          <w:trHeight w:val="28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5907C">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D644">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B3CA">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评分因素</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11FD">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权重</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0D4C">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评分准则</w:t>
            </w:r>
          </w:p>
        </w:tc>
      </w:tr>
      <w:tr w14:paraId="66262E25">
        <w:tblPrEx>
          <w:tblCellMar>
            <w:top w:w="0" w:type="dxa"/>
            <w:left w:w="108" w:type="dxa"/>
            <w:bottom w:w="0" w:type="dxa"/>
            <w:right w:w="108" w:type="dxa"/>
          </w:tblCellMar>
        </w:tblPrEx>
        <w:trPr>
          <w:trHeight w:val="2576"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AEBF8">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4C9B">
            <w:pPr>
              <w:widowControl/>
              <w:spacing w:line="288" w:lineRule="auto"/>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A30A">
            <w:pPr>
              <w:widowControl/>
              <w:spacing w:line="288" w:lineRule="auto"/>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项目服务能力响应程度</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6A1C">
            <w:pPr>
              <w:spacing w:line="288"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85D9">
            <w:pPr>
              <w:widowControl/>
              <w:spacing w:line="288"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投标供应商须负责承担服务项目中所有项目，投标人对本委托服务项目的重要技术参数的响应情况进行评审，（提供相关截图证明作为证明，否则该条件指标视为不完全满足用户需求）。</w:t>
            </w:r>
          </w:p>
          <w:p w14:paraId="198388DC">
            <w:pPr>
              <w:widowControl/>
              <w:spacing w:line="288"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参数完全满足或优于的，得</w:t>
            </w:r>
            <w:r>
              <w:rPr>
                <w:rFonts w:hint="eastAsia" w:ascii="宋体" w:hAnsi="宋体" w:eastAsia="宋体" w:cs="宋体"/>
                <w:color w:val="auto"/>
                <w:kern w:val="0"/>
                <w:sz w:val="21"/>
                <w:szCs w:val="21"/>
                <w:highlight w:val="none"/>
                <w:lang w:val="en-US" w:eastAsia="zh-CN" w:bidi="ar"/>
              </w:rPr>
              <w:t>30</w:t>
            </w:r>
            <w:r>
              <w:rPr>
                <w:rFonts w:hint="eastAsia" w:ascii="宋体" w:hAnsi="宋体" w:eastAsia="宋体" w:cs="宋体"/>
                <w:color w:val="auto"/>
                <w:kern w:val="0"/>
                <w:sz w:val="21"/>
                <w:szCs w:val="21"/>
                <w:highlight w:val="none"/>
                <w:lang w:bidi="ar"/>
              </w:rPr>
              <w:t>分；每负偏离一项扣</w:t>
            </w:r>
            <w:r>
              <w:rPr>
                <w:rFonts w:hint="eastAsia" w:ascii="宋体" w:hAnsi="宋体" w:eastAsia="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分，扣完为止。</w:t>
            </w:r>
          </w:p>
        </w:tc>
      </w:tr>
      <w:tr w14:paraId="153BC45A">
        <w:tblPrEx>
          <w:tblCellMar>
            <w:top w:w="0" w:type="dxa"/>
            <w:left w:w="108" w:type="dxa"/>
            <w:bottom w:w="0" w:type="dxa"/>
            <w:right w:w="108" w:type="dxa"/>
          </w:tblCellMar>
        </w:tblPrEx>
        <w:trPr>
          <w:trHeight w:val="364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5338E">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C0ED">
            <w:pPr>
              <w:widowControl/>
              <w:spacing w:line="288" w:lineRule="auto"/>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24FA">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项目实施服务方案</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5B4">
            <w:pPr>
              <w:spacing w:line="288"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2008">
            <w:pPr>
              <w:widowControl/>
              <w:spacing w:line="288"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（一）评分内容：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根据各投标人提供的整体实施方案，包括不仅限于：</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1、本项目服务内容的理解程度；</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2、服务质量保障措施；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3、平台系统和设备的维护措施；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4、售后服务响应。</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（二）评分依据：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1.每提供一项得</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分，最高得</w:t>
            </w:r>
            <w:r>
              <w:rPr>
                <w:rFonts w:hint="eastAsia" w:ascii="宋体" w:hAnsi="宋体" w:eastAsia="宋体" w:cs="宋体"/>
                <w:color w:val="auto"/>
                <w:kern w:val="0"/>
                <w:sz w:val="21"/>
                <w:szCs w:val="21"/>
                <w:highlight w:val="none"/>
                <w:lang w:val="en-US" w:eastAsia="zh-CN" w:bidi="ar"/>
              </w:rPr>
              <w:t>12</w:t>
            </w:r>
            <w:r>
              <w:rPr>
                <w:rFonts w:hint="eastAsia" w:ascii="宋体" w:hAnsi="宋体" w:eastAsia="宋体" w:cs="宋体"/>
                <w:color w:val="auto"/>
                <w:kern w:val="0"/>
                <w:sz w:val="21"/>
                <w:szCs w:val="21"/>
                <w:highlight w:val="none"/>
                <w:lang w:bidi="ar"/>
              </w:rPr>
              <w:t xml:space="preserve">分 </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2.在此基础上，由评审专家进行评价：</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（1）充分理解用户需求，整体实施方案详细具体，具有针对性和可行性，各阶段服务计划详尽，完全满足且优于采购需求，评审为优加</w:t>
            </w:r>
            <w:r>
              <w:rPr>
                <w:rFonts w:hint="eastAsia" w:ascii="宋体" w:hAnsi="宋体" w:eastAsia="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 xml:space="preserve">分； </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（2）完全理解用户需求，整体实施方案基本完整，有一定的针对性和可行性，各阶段服务计划基本完整，能满足采购需求，评审为良加</w:t>
            </w: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bidi="ar"/>
              </w:rPr>
              <w:t xml:space="preserve">分； </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（3）基本理解用户需求，整体实施方案无重大偏差，针对性和可行性较低，各阶段服务计划无重大缺漏，部分内容能满足采购需求，评审为中加</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（4）无法理解用户需求，整体实施方案及各阶段服务计划缺漏不可行，不能满足采购需求，评审为差加0分</w:t>
            </w:r>
            <w:r>
              <w:rPr>
                <w:rFonts w:hint="eastAsia" w:ascii="宋体" w:hAnsi="宋体" w:eastAsia="宋体" w:cs="宋体"/>
                <w:color w:val="auto"/>
                <w:kern w:val="0"/>
                <w:sz w:val="21"/>
                <w:szCs w:val="21"/>
                <w:highlight w:val="none"/>
                <w:lang w:eastAsia="zh-CN" w:bidi="ar"/>
              </w:rPr>
              <w:t>。</w:t>
            </w:r>
          </w:p>
        </w:tc>
      </w:tr>
      <w:tr w14:paraId="6EF0B460">
        <w:tblPrEx>
          <w:tblCellMar>
            <w:top w:w="0" w:type="dxa"/>
            <w:left w:w="108" w:type="dxa"/>
            <w:bottom w:w="0" w:type="dxa"/>
            <w:right w:w="108" w:type="dxa"/>
          </w:tblCellMar>
        </w:tblPrEx>
        <w:trPr>
          <w:trHeight w:val="402"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64131">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D289">
            <w:pPr>
              <w:widowControl/>
              <w:spacing w:line="288" w:lineRule="auto"/>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B486">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售后服务</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61F4">
            <w:pPr>
              <w:spacing w:line="288"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AF6C">
            <w:pPr>
              <w:widowControl/>
              <w:spacing w:line="288"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sz w:val="21"/>
                <w:szCs w:val="21"/>
                <w:highlight w:val="none"/>
                <w:lang w:val="en-US" w:eastAsia="zh-CN"/>
              </w:rPr>
              <w:t>动态心电监护</w:t>
            </w:r>
            <w:r>
              <w:rPr>
                <w:rFonts w:hint="eastAsia" w:ascii="宋体" w:hAnsi="宋体" w:eastAsia="宋体" w:cs="宋体"/>
                <w:color w:val="auto"/>
                <w:sz w:val="21"/>
                <w:szCs w:val="21"/>
                <w:highlight w:val="none"/>
              </w:rPr>
              <w:t>仪、导联线等配件</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免费更换，故障48h内修复</w:t>
            </w:r>
            <w:r>
              <w:rPr>
                <w:rFonts w:hint="eastAsia" w:ascii="宋体" w:hAnsi="宋体" w:eastAsia="宋体" w:cs="宋体"/>
                <w:color w:val="auto"/>
                <w:sz w:val="21"/>
                <w:szCs w:val="21"/>
                <w:highlight w:val="none"/>
                <w:lang w:eastAsia="zh-CN"/>
              </w:rPr>
              <w:t>；</w:t>
            </w:r>
          </w:p>
          <w:p w14:paraId="2D2E9DA6">
            <w:pPr>
              <w:widowControl/>
              <w:spacing w:line="288"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可提供承诺函（格式自拟），得</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分；未提供不得分。</w:t>
            </w:r>
          </w:p>
          <w:p w14:paraId="6E70F5AF">
            <w:pPr>
              <w:keepNext w:val="0"/>
              <w:keepLines w:val="0"/>
              <w:widowControl/>
              <w:numPr>
                <w:ilvl w:val="0"/>
                <w:numId w:val="0"/>
              </w:numPr>
              <w:suppressLineNumbers w:val="0"/>
              <w:spacing w:line="240" w:lineRule="auto"/>
              <w:jc w:val="left"/>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lang w:val="en-US" w:eastAsia="zh-CN"/>
              </w:rPr>
              <w:t>2、</w:t>
            </w:r>
            <w:r>
              <w:rPr>
                <w:rFonts w:hint="eastAsia" w:ascii="宋体" w:hAnsi="宋体" w:eastAsia="宋体" w:cs="宋体"/>
                <w:i w:val="0"/>
                <w:iCs w:val="0"/>
                <w:caps w:val="0"/>
                <w:color w:val="auto"/>
                <w:spacing w:val="0"/>
                <w:sz w:val="21"/>
                <w:szCs w:val="21"/>
                <w:highlight w:val="none"/>
                <w:shd w:val="clear" w:fill="FFFFFF"/>
              </w:rPr>
              <w:t>响应时间要求：7×24小时响应，现场问题处理：5×8小时</w:t>
            </w:r>
            <w:r>
              <w:rPr>
                <w:rFonts w:hint="eastAsia" w:ascii="宋体" w:hAnsi="宋体" w:eastAsia="宋体" w:cs="宋体"/>
                <w:i w:val="0"/>
                <w:iCs w:val="0"/>
                <w:caps w:val="0"/>
                <w:color w:val="auto"/>
                <w:spacing w:val="0"/>
                <w:sz w:val="21"/>
                <w:szCs w:val="21"/>
                <w:highlight w:val="none"/>
                <w:shd w:val="clear" w:fill="FFFFFF"/>
                <w:lang w:eastAsia="zh-CN"/>
              </w:rPr>
              <w:t>；</w:t>
            </w:r>
          </w:p>
          <w:p w14:paraId="782CAA12">
            <w:pPr>
              <w:keepNext w:val="0"/>
              <w:keepLines w:val="0"/>
              <w:widowControl/>
              <w:numPr>
                <w:ilvl w:val="0"/>
                <w:numId w:val="0"/>
              </w:numPr>
              <w:suppressLineNumbers w:val="0"/>
              <w:spacing w:line="240" w:lineRule="auto"/>
              <w:jc w:val="left"/>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rPr>
              <w:t>当服务内容中系统出现故障时，30分钟内响应并提供远程工程师技术支持，若远程支持不能解决故障时12小时内维修工程师到达现场</w:t>
            </w:r>
            <w:r>
              <w:rPr>
                <w:rFonts w:hint="eastAsia" w:ascii="宋体" w:hAnsi="宋体" w:eastAsia="宋体" w:cs="宋体"/>
                <w:i w:val="0"/>
                <w:iCs w:val="0"/>
                <w:caps w:val="0"/>
                <w:color w:val="auto"/>
                <w:spacing w:val="0"/>
                <w:sz w:val="21"/>
                <w:szCs w:val="21"/>
                <w:highlight w:val="none"/>
                <w:shd w:val="clear" w:fill="FFFFFF"/>
                <w:lang w:eastAsia="zh-CN"/>
              </w:rPr>
              <w:t>；</w:t>
            </w:r>
          </w:p>
          <w:p w14:paraId="159ACE80">
            <w:pPr>
              <w:widowControl/>
              <w:spacing w:line="288" w:lineRule="auto"/>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i w:val="0"/>
                <w:iCs w:val="0"/>
                <w:caps w:val="0"/>
                <w:color w:val="auto"/>
                <w:spacing w:val="0"/>
                <w:sz w:val="21"/>
                <w:szCs w:val="21"/>
                <w:highlight w:val="none"/>
                <w:shd w:val="clear" w:fill="FFFFFF"/>
              </w:rPr>
              <w:t>提供系统培训服务，包括对医院医护人员及</w:t>
            </w:r>
            <w:r>
              <w:rPr>
                <w:rFonts w:hint="eastAsia" w:ascii="宋体" w:hAnsi="宋体" w:eastAsia="宋体" w:cs="宋体"/>
                <w:i w:val="0"/>
                <w:iCs w:val="0"/>
                <w:caps w:val="0"/>
                <w:color w:val="auto"/>
                <w:spacing w:val="0"/>
                <w:sz w:val="21"/>
                <w:szCs w:val="21"/>
                <w:highlight w:val="none"/>
                <w:shd w:val="clear" w:fill="FFFFFF"/>
                <w:lang w:val="en-US" w:eastAsia="zh-CN"/>
              </w:rPr>
              <w:t>相关</w:t>
            </w:r>
            <w:r>
              <w:rPr>
                <w:rFonts w:hint="eastAsia" w:ascii="宋体" w:hAnsi="宋体" w:eastAsia="宋体" w:cs="宋体"/>
                <w:i w:val="0"/>
                <w:iCs w:val="0"/>
                <w:caps w:val="0"/>
                <w:color w:val="auto"/>
                <w:spacing w:val="0"/>
                <w:sz w:val="21"/>
                <w:szCs w:val="21"/>
                <w:highlight w:val="none"/>
                <w:shd w:val="clear" w:fill="FFFFFF"/>
              </w:rPr>
              <w:t>人员的培训</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宋体" w:hAnsi="宋体" w:eastAsia="宋体" w:cs="宋体"/>
                <w:color w:val="auto"/>
                <w:kern w:val="0"/>
                <w:sz w:val="21"/>
                <w:szCs w:val="21"/>
                <w:highlight w:val="none"/>
                <w:lang w:bidi="ar"/>
              </w:rPr>
              <w:t>可提供承诺函（格式自拟），得</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分；未提供不得分</w:t>
            </w:r>
            <w:r>
              <w:rPr>
                <w:rFonts w:hint="eastAsia" w:ascii="宋体" w:hAnsi="宋体" w:eastAsia="宋体" w:cs="宋体"/>
                <w:color w:val="auto"/>
                <w:kern w:val="0"/>
                <w:sz w:val="21"/>
                <w:szCs w:val="21"/>
                <w:highlight w:val="none"/>
                <w:lang w:eastAsia="zh-CN" w:bidi="ar"/>
              </w:rPr>
              <w:t>。</w:t>
            </w:r>
          </w:p>
        </w:tc>
      </w:tr>
      <w:tr w14:paraId="178489DF">
        <w:tblPrEx>
          <w:tblCellMar>
            <w:top w:w="0" w:type="dxa"/>
            <w:left w:w="108" w:type="dxa"/>
            <w:bottom w:w="0" w:type="dxa"/>
            <w:right w:w="108" w:type="dxa"/>
          </w:tblCellMar>
        </w:tblPrEx>
        <w:trPr>
          <w:trHeight w:val="280" w:hRule="atLeast"/>
          <w:jc w:val="center"/>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4C9B4">
            <w:pPr>
              <w:widowControl/>
              <w:spacing w:line="288" w:lineRule="auto"/>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w:t>
            </w:r>
          </w:p>
        </w:tc>
        <w:tc>
          <w:tcPr>
            <w:tcW w:w="2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AB790">
            <w:pPr>
              <w:widowControl/>
              <w:spacing w:line="288" w:lineRule="auto"/>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商务部分</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D97E">
            <w:pPr>
              <w:spacing w:line="288"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r>
      <w:tr w14:paraId="65EF468C">
        <w:tblPrEx>
          <w:tblCellMar>
            <w:top w:w="0" w:type="dxa"/>
            <w:left w:w="108" w:type="dxa"/>
            <w:bottom w:w="0" w:type="dxa"/>
            <w:right w:w="108" w:type="dxa"/>
          </w:tblCellMar>
        </w:tblPrEx>
        <w:trPr>
          <w:trHeight w:val="28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1D2A9">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9CC6">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29AE">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评分因素</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B235">
            <w:pPr>
              <w:widowControl/>
              <w:spacing w:line="288" w:lineRule="auto"/>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权重</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655C">
            <w:pPr>
              <w:widowControl/>
              <w:spacing w:line="288" w:lineRule="auto"/>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评分准则</w:t>
            </w:r>
          </w:p>
        </w:tc>
      </w:tr>
      <w:tr w14:paraId="3FDBD345">
        <w:tblPrEx>
          <w:tblCellMar>
            <w:top w:w="0" w:type="dxa"/>
            <w:left w:w="108" w:type="dxa"/>
            <w:bottom w:w="0" w:type="dxa"/>
            <w:right w:w="108" w:type="dxa"/>
          </w:tblCellMar>
        </w:tblPrEx>
        <w:trPr>
          <w:trHeight w:val="9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57AE">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7A7C">
            <w:pPr>
              <w:widowControl/>
              <w:spacing w:line="288" w:lineRule="auto"/>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E3CE">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投标人的技术团队和专业能力</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19DF">
            <w:pPr>
              <w:spacing w:line="288"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26F9">
            <w:pPr>
              <w:widowControl/>
              <w:spacing w:line="288"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根据投标人拟定投入本项目的技术及服务人员</w:t>
            </w:r>
            <w:r>
              <w:rPr>
                <w:rFonts w:hint="eastAsia" w:ascii="宋体" w:hAnsi="宋体" w:eastAsia="宋体" w:cs="宋体"/>
                <w:i w:val="0"/>
                <w:iCs w:val="0"/>
                <w:caps w:val="0"/>
                <w:color w:val="auto"/>
                <w:spacing w:val="0"/>
                <w:sz w:val="21"/>
                <w:szCs w:val="21"/>
                <w:highlight w:val="none"/>
                <w:shd w:val="clear" w:fill="FFFFFF"/>
              </w:rPr>
              <w:t>不少于2人</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宋体" w:hAnsi="宋体" w:eastAsia="宋体" w:cs="宋体"/>
                <w:color w:val="auto"/>
                <w:kern w:val="0"/>
                <w:sz w:val="21"/>
                <w:szCs w:val="21"/>
                <w:highlight w:val="none"/>
                <w:lang w:bidi="ar"/>
              </w:rPr>
              <w:t>得2分；具有</w:t>
            </w:r>
            <w:r>
              <w:rPr>
                <w:rFonts w:hint="eastAsia" w:ascii="宋体" w:hAnsi="宋体" w:eastAsia="宋体" w:cs="宋体"/>
                <w:color w:val="auto"/>
                <w:kern w:val="0"/>
                <w:sz w:val="21"/>
                <w:szCs w:val="21"/>
                <w:highlight w:val="none"/>
                <w:lang w:val="en-US" w:eastAsia="zh-CN" w:bidi="ar"/>
              </w:rPr>
              <w:t>计算机技术或软件技术证书</w:t>
            </w:r>
            <w:r>
              <w:rPr>
                <w:rFonts w:hint="eastAsia" w:ascii="宋体" w:hAnsi="宋体" w:eastAsia="宋体" w:cs="宋体"/>
                <w:color w:val="auto"/>
                <w:kern w:val="0"/>
                <w:sz w:val="21"/>
                <w:szCs w:val="21"/>
                <w:highlight w:val="none"/>
                <w:lang w:bidi="ar"/>
              </w:rPr>
              <w:t>，得</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分；</w:t>
            </w:r>
          </w:p>
          <w:p w14:paraId="28041664">
            <w:pPr>
              <w:widowControl/>
              <w:spacing w:line="288"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注：须提供人员相关证书</w:t>
            </w:r>
          </w:p>
        </w:tc>
      </w:tr>
      <w:tr w14:paraId="4157FECB">
        <w:tblPrEx>
          <w:tblCellMar>
            <w:top w:w="0" w:type="dxa"/>
            <w:left w:w="108" w:type="dxa"/>
            <w:bottom w:w="0" w:type="dxa"/>
            <w:right w:w="108" w:type="dxa"/>
          </w:tblCellMar>
        </w:tblPrEx>
        <w:trPr>
          <w:trHeight w:val="9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4C8D8">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EAF3">
            <w:pPr>
              <w:widowControl/>
              <w:spacing w:line="288" w:lineRule="auto"/>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3616">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同类业务业绩情况</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9A40">
            <w:pPr>
              <w:spacing w:line="288"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3BD4">
            <w:pPr>
              <w:widowControl/>
              <w:spacing w:line="288"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评审要求：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考察投标人近三年承接过同类服务项目的二级或以上医疗服务机构</w:t>
            </w:r>
            <w:r>
              <w:rPr>
                <w:rFonts w:hint="eastAsia" w:ascii="宋体" w:hAnsi="宋体" w:eastAsia="宋体" w:cs="宋体"/>
                <w:color w:val="auto"/>
                <w:kern w:val="0"/>
                <w:sz w:val="21"/>
                <w:szCs w:val="21"/>
                <w:highlight w:val="none"/>
                <w:lang w:val="en-US" w:eastAsia="zh-CN" w:bidi="ar"/>
              </w:rPr>
              <w:t>服务</w:t>
            </w:r>
            <w:r>
              <w:rPr>
                <w:rFonts w:hint="eastAsia" w:ascii="宋体" w:hAnsi="宋体" w:eastAsia="宋体" w:cs="宋体"/>
                <w:color w:val="auto"/>
                <w:kern w:val="0"/>
                <w:sz w:val="21"/>
                <w:szCs w:val="21"/>
                <w:highlight w:val="none"/>
                <w:lang w:bidi="ar"/>
              </w:rPr>
              <w:t>项目情况，每提供一个得</w:t>
            </w:r>
            <w:r>
              <w:rPr>
                <w:rFonts w:hint="eastAsia" w:ascii="宋体" w:hAnsi="宋体" w:eastAsia="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bidi="ar"/>
              </w:rPr>
              <w:t>分数，最高可得</w:t>
            </w:r>
            <w:r>
              <w:rPr>
                <w:rFonts w:hint="eastAsia" w:ascii="宋体" w:hAnsi="宋体" w:eastAsia="宋体" w:cs="宋体"/>
                <w:color w:val="auto"/>
                <w:kern w:val="0"/>
                <w:sz w:val="21"/>
                <w:szCs w:val="21"/>
                <w:highlight w:val="none"/>
                <w:lang w:val="en-US" w:eastAsia="zh-CN" w:bidi="ar"/>
              </w:rPr>
              <w:t>20</w:t>
            </w:r>
            <w:r>
              <w:rPr>
                <w:rFonts w:hint="eastAsia" w:ascii="宋体" w:hAnsi="宋体" w:eastAsia="宋体" w:cs="宋体"/>
                <w:color w:val="auto"/>
                <w:kern w:val="0"/>
                <w:sz w:val="21"/>
                <w:szCs w:val="21"/>
                <w:highlight w:val="none"/>
                <w:lang w:bidi="ar"/>
              </w:rPr>
              <w:t>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评分依据：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要求提供相应的项目合同或项目委托协议关键页复印件加盖投标人公章，原件备查。不提供或提供不全或提供资料不清晰专家无法凭所提供资料判断是否得分的情况不得分。</w:t>
            </w:r>
          </w:p>
        </w:tc>
      </w:tr>
      <w:tr w14:paraId="3F57CBCA">
        <w:tblPrEx>
          <w:tblCellMar>
            <w:top w:w="0" w:type="dxa"/>
            <w:left w:w="108" w:type="dxa"/>
            <w:bottom w:w="0" w:type="dxa"/>
            <w:right w:w="108" w:type="dxa"/>
          </w:tblCellMar>
        </w:tblPrEx>
        <w:trPr>
          <w:trHeight w:val="280" w:hRule="atLeast"/>
          <w:jc w:val="center"/>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C8F87">
            <w:pPr>
              <w:widowControl/>
              <w:spacing w:line="288" w:lineRule="auto"/>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4</w:t>
            </w:r>
          </w:p>
        </w:tc>
        <w:tc>
          <w:tcPr>
            <w:tcW w:w="26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AE809">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其他</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91BC">
            <w:pPr>
              <w:spacing w:line="288"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r>
      <w:tr w14:paraId="1B885D2E">
        <w:tblPrEx>
          <w:tblCellMar>
            <w:top w:w="0" w:type="dxa"/>
            <w:left w:w="108" w:type="dxa"/>
            <w:bottom w:w="0" w:type="dxa"/>
            <w:right w:w="108" w:type="dxa"/>
          </w:tblCellMar>
        </w:tblPrEx>
        <w:trPr>
          <w:trHeight w:val="28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56BAB">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7CA1">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E97B">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评分因素</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E7FA">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权重</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48ED">
            <w:pPr>
              <w:widowControl/>
              <w:spacing w:line="288" w:lineRule="auto"/>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评分准则</w:t>
            </w:r>
          </w:p>
        </w:tc>
      </w:tr>
      <w:tr w14:paraId="1292C8A9">
        <w:tblPrEx>
          <w:tblCellMar>
            <w:top w:w="0" w:type="dxa"/>
            <w:left w:w="108" w:type="dxa"/>
            <w:bottom w:w="0" w:type="dxa"/>
            <w:right w:w="108" w:type="dxa"/>
          </w:tblCellMar>
        </w:tblPrEx>
        <w:trPr>
          <w:trHeight w:val="1400"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B6036">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E1CB">
            <w:pPr>
              <w:widowControl/>
              <w:spacing w:line="288" w:lineRule="auto"/>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EAFC">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履约评价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8EE7">
            <w:pPr>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0717">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auto"/>
                <w:kern w:val="0"/>
                <w:sz w:val="21"/>
                <w:szCs w:val="21"/>
                <w:highlight w:val="none"/>
                <w:lang w:bidi="ar"/>
              </w:rPr>
              <w:t>评审要求：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近三年</w:t>
            </w:r>
            <w:r>
              <w:rPr>
                <w:rFonts w:hint="eastAsia" w:ascii="宋体" w:hAnsi="宋体" w:eastAsia="宋体" w:cs="宋体"/>
                <w:color w:val="auto"/>
                <w:sz w:val="21"/>
                <w:szCs w:val="21"/>
                <w:highlight w:val="none"/>
              </w:rPr>
              <w:t>是否有重大行政处罚、行业惩戒、严重负面报道、诉讼记录</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sz w:val="21"/>
                <w:szCs w:val="21"/>
                <w:highlight w:val="none"/>
              </w:rPr>
              <w:t>无以上记录</w:t>
            </w:r>
            <w:r>
              <w:rPr>
                <w:rFonts w:hint="eastAsia" w:ascii="宋体" w:hAnsi="宋体" w:eastAsia="宋体" w:cs="宋体"/>
                <w:color w:val="auto"/>
                <w:kern w:val="0"/>
                <w:sz w:val="21"/>
                <w:szCs w:val="21"/>
                <w:highlight w:val="none"/>
                <w:lang w:bidi="ar"/>
              </w:rPr>
              <w:t>得满分，否则本项不得分。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评分依据：</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注：要求供应商提供承诺函</w:t>
            </w:r>
            <w:r>
              <w:rPr>
                <w:rFonts w:hint="eastAsia" w:ascii="宋体" w:hAnsi="宋体" w:eastAsia="宋体" w:cs="宋体"/>
                <w:color w:val="auto"/>
                <w:kern w:val="0"/>
                <w:sz w:val="21"/>
                <w:szCs w:val="21"/>
                <w:highlight w:val="none"/>
                <w:lang w:val="en-US" w:eastAsia="zh-CN" w:bidi="ar"/>
              </w:rPr>
              <w:t>或天眼查等截图</w:t>
            </w:r>
            <w:r>
              <w:rPr>
                <w:rFonts w:hint="eastAsia" w:ascii="宋体" w:hAnsi="宋体" w:eastAsia="宋体" w:cs="宋体"/>
                <w:color w:val="auto"/>
                <w:kern w:val="0"/>
                <w:sz w:val="21"/>
                <w:szCs w:val="21"/>
                <w:highlight w:val="none"/>
                <w:lang w:bidi="ar"/>
              </w:rPr>
              <w:t>作为得分依据，格式自拟。不提供或未按要求提供或提供资料不清晰专家无法凭所提供资料判断是否得分的情况不得分。</w:t>
            </w:r>
          </w:p>
        </w:tc>
      </w:tr>
      <w:tr w14:paraId="2A430E2A">
        <w:tblPrEx>
          <w:tblCellMar>
            <w:top w:w="0" w:type="dxa"/>
            <w:left w:w="108" w:type="dxa"/>
            <w:bottom w:w="0" w:type="dxa"/>
            <w:right w:w="108" w:type="dxa"/>
          </w:tblCellMar>
        </w:tblPrEx>
        <w:trPr>
          <w:trHeight w:val="469" w:hRule="atLeast"/>
          <w:jc w:val="center"/>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8C3ED">
            <w:pPr>
              <w:spacing w:line="288" w:lineRule="auto"/>
              <w:jc w:val="center"/>
              <w:rPr>
                <w:rFonts w:hint="eastAsia" w:ascii="宋体" w:hAnsi="宋体" w:eastAsia="宋体" w:cs="宋体"/>
                <w:color w:val="000000"/>
                <w:sz w:val="21"/>
                <w:szCs w:val="21"/>
                <w:highlight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2E58">
            <w:pPr>
              <w:widowControl/>
              <w:spacing w:line="288" w:lineRule="auto"/>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B83E">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诚信评价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E6F0">
            <w:pPr>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6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3271">
            <w:pPr>
              <w:widowControl/>
              <w:spacing w:line="288"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评审要求：</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投标人在参与政府采购活动中存在诚信相关问题且在主管部门相关处理措施实施期限内的，本项不得分，否则得满分。</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评分依据：</w:t>
            </w:r>
            <w:r>
              <w:rPr>
                <w:rFonts w:hint="eastAsia" w:ascii="宋体" w:hAnsi="宋体" w:eastAsia="宋体" w:cs="宋体"/>
                <w:color w:val="000000"/>
                <w:kern w:val="0"/>
                <w:sz w:val="21"/>
                <w:szCs w:val="21"/>
                <w:highlight w:val="none"/>
                <w:lang w:val="en-US" w:eastAsia="zh-CN" w:bidi="ar"/>
              </w:rPr>
              <w:t xml:space="preserve"> </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须提供《诚信承诺函》，按招标文件格式要求提供，不提供不得分。如被认定提供的陈述与事实不符的，依法追究其责任。</w:t>
            </w:r>
          </w:p>
        </w:tc>
      </w:tr>
    </w:tbl>
    <w:p w14:paraId="7124DE15">
      <w:pPr>
        <w:pStyle w:val="14"/>
        <w:spacing w:before="0" w:beforeAutospacing="0" w:after="0" w:afterAutospacing="0" w:line="360" w:lineRule="auto"/>
        <w:ind w:firstLine="420"/>
        <w:rPr>
          <w:rFonts w:ascii="Times New Roman" w:hAnsi="Times New Roman" w:cs="Times New Roman"/>
          <w:color w:val="000000"/>
          <w:highlight w:val="none"/>
        </w:rPr>
        <w:sectPr>
          <w:headerReference r:id="rId3" w:type="default"/>
          <w:pgSz w:w="11906" w:h="16838"/>
          <w:pgMar w:top="1418" w:right="851" w:bottom="1418" w:left="1134" w:header="851" w:footer="992" w:gutter="0"/>
          <w:cols w:space="720" w:num="1"/>
          <w:docGrid w:type="lines" w:linePitch="312" w:charSpace="0"/>
        </w:sectPr>
      </w:pPr>
      <w:r>
        <w:rPr>
          <w:rFonts w:ascii="Times New Roman" w:hAnsi="Times New Roman" w:cs="Times New Roman"/>
          <w:color w:val="000000"/>
          <w:highlight w:val="none"/>
        </w:rPr>
        <w:br w:type="page"/>
      </w:r>
    </w:p>
    <w:p w14:paraId="69833780">
      <w:pPr>
        <w:pStyle w:val="14"/>
        <w:spacing w:before="0" w:beforeAutospacing="0" w:after="0" w:afterAutospacing="0" w:line="360" w:lineRule="auto"/>
        <w:ind w:firstLine="420"/>
        <w:rPr>
          <w:rFonts w:ascii="Times New Roman" w:hAnsi="Times New Roman" w:cs="Times New Roman"/>
          <w:color w:val="000000"/>
          <w:highlight w:val="none"/>
        </w:rPr>
      </w:pPr>
    </w:p>
    <w:p w14:paraId="173BEFA1">
      <w:pPr>
        <w:pStyle w:val="14"/>
        <w:spacing w:before="0" w:beforeAutospacing="0" w:after="0" w:afterAutospacing="0" w:line="360" w:lineRule="auto"/>
        <w:ind w:firstLine="420"/>
        <w:jc w:val="center"/>
        <w:rPr>
          <w:rFonts w:ascii="Times New Roman" w:hAnsi="Times New Roman" w:cs="Times New Roman"/>
          <w:b/>
          <w:bCs/>
          <w:color w:val="000000"/>
          <w:sz w:val="19"/>
          <w:szCs w:val="22"/>
          <w:highlight w:val="none"/>
        </w:rPr>
      </w:pPr>
      <w:r>
        <w:rPr>
          <w:rFonts w:ascii="Times New Roman" w:hAnsi="Times New Roman" w:cs="Times New Roman"/>
          <w:b/>
          <w:bCs/>
          <w:color w:val="000000"/>
          <w:sz w:val="19"/>
          <w:szCs w:val="22"/>
          <w:highlight w:val="none"/>
        </w:rPr>
        <w:t>第</w:t>
      </w:r>
      <w:r>
        <w:rPr>
          <w:rFonts w:hint="eastAsia" w:ascii="Times New Roman" w:hAnsi="Times New Roman" w:cs="Times New Roman"/>
          <w:b/>
          <w:bCs/>
          <w:color w:val="000000"/>
          <w:sz w:val="19"/>
          <w:szCs w:val="22"/>
          <w:highlight w:val="none"/>
        </w:rPr>
        <w:t>五</w:t>
      </w:r>
      <w:r>
        <w:rPr>
          <w:rFonts w:ascii="Times New Roman" w:hAnsi="Times New Roman" w:cs="Times New Roman"/>
          <w:b/>
          <w:bCs/>
          <w:color w:val="000000"/>
          <w:sz w:val="19"/>
          <w:szCs w:val="22"/>
          <w:highlight w:val="none"/>
        </w:rPr>
        <w:t>章</w:t>
      </w:r>
      <w:r>
        <w:rPr>
          <w:rFonts w:hint="eastAsia" w:ascii="Times New Roman" w:hAnsi="Times New Roman" w:cs="Times New Roman"/>
          <w:b/>
          <w:bCs/>
          <w:color w:val="000000"/>
          <w:sz w:val="19"/>
          <w:szCs w:val="22"/>
          <w:highlight w:val="none"/>
        </w:rPr>
        <w:t xml:space="preserve"> 合同版本</w:t>
      </w:r>
    </w:p>
    <w:p w14:paraId="01FDA09C">
      <w:pPr>
        <w:pStyle w:val="14"/>
        <w:spacing w:before="0" w:beforeAutospacing="0" w:after="0" w:afterAutospacing="0" w:line="360" w:lineRule="auto"/>
        <w:ind w:firstLine="420"/>
        <w:jc w:val="center"/>
        <w:rPr>
          <w:rFonts w:ascii="Times New Roman" w:hAnsi="Times New Roman" w:cs="Times New Roman"/>
          <w:b/>
          <w:bCs/>
          <w:color w:val="000000"/>
          <w:sz w:val="19"/>
          <w:szCs w:val="22"/>
          <w:highlight w:val="none"/>
        </w:rPr>
      </w:pPr>
    </w:p>
    <w:p w14:paraId="33E44A7B">
      <w:pPr>
        <w:spacing w:before="156" w:beforeLines="50" w:after="312" w:afterLines="100" w:line="360" w:lineRule="auto"/>
        <w:rPr>
          <w:rFonts w:ascii="黑体" w:hAnsi="黑体" w:eastAsia="黑体"/>
          <w:b/>
          <w:sz w:val="56"/>
          <w:szCs w:val="32"/>
          <w:highlight w:val="none"/>
        </w:rPr>
      </w:pPr>
    </w:p>
    <w:p w14:paraId="580A22F4">
      <w:pPr>
        <w:spacing w:before="156" w:beforeLines="50" w:after="312" w:afterLines="100" w:line="600" w:lineRule="auto"/>
        <w:jc w:val="center"/>
        <w:rPr>
          <w:rFonts w:hint="eastAsia" w:ascii="黑体" w:hAnsi="黑体" w:eastAsia="黑体"/>
          <w:b/>
          <w:color w:val="auto"/>
          <w:sz w:val="44"/>
          <w:szCs w:val="44"/>
          <w:highlight w:val="none"/>
          <w:lang w:val="en-US" w:eastAsia="zh-CN"/>
        </w:rPr>
      </w:pPr>
      <w:r>
        <w:rPr>
          <w:rFonts w:hint="eastAsia" w:ascii="黑体" w:hAnsi="黑体" w:eastAsia="黑体"/>
          <w:b/>
          <w:sz w:val="44"/>
          <w:szCs w:val="44"/>
          <w:highlight w:val="none"/>
        </w:rPr>
        <w:t>广州医科大学附属第三医院与XX</w:t>
      </w:r>
      <w:r>
        <w:rPr>
          <w:rFonts w:hint="eastAsia" w:ascii="黑体" w:hAnsi="黑体" w:eastAsia="黑体"/>
          <w:b/>
          <w:color w:val="auto"/>
          <w:sz w:val="44"/>
          <w:szCs w:val="44"/>
          <w:highlight w:val="none"/>
          <w:lang w:val="en-US" w:eastAsia="zh-CN"/>
        </w:rPr>
        <w:t>公司</w:t>
      </w:r>
    </w:p>
    <w:p w14:paraId="17EBD56B">
      <w:pPr>
        <w:spacing w:before="156" w:beforeLines="50" w:after="312" w:afterLines="100" w:line="600" w:lineRule="auto"/>
        <w:jc w:val="center"/>
        <w:rPr>
          <w:rFonts w:ascii="黑体" w:hAnsi="黑体" w:eastAsia="黑体"/>
          <w:b/>
          <w:sz w:val="44"/>
          <w:szCs w:val="44"/>
          <w:highlight w:val="none"/>
        </w:rPr>
      </w:pPr>
      <w:r>
        <w:rPr>
          <w:rFonts w:hint="eastAsia" w:ascii="黑体" w:hAnsi="黑体" w:eastAsia="黑体"/>
          <w:b/>
          <w:sz w:val="44"/>
          <w:szCs w:val="44"/>
          <w:highlight w:val="none"/>
        </w:rPr>
        <w:t>合作协议</w:t>
      </w:r>
    </w:p>
    <w:p w14:paraId="4D671721">
      <w:pPr>
        <w:spacing w:line="360" w:lineRule="auto"/>
        <w:ind w:firstLine="562" w:firstLineChars="200"/>
        <w:rPr>
          <w:b/>
          <w:sz w:val="28"/>
          <w:szCs w:val="28"/>
          <w:highlight w:val="none"/>
        </w:rPr>
      </w:pPr>
    </w:p>
    <w:p w14:paraId="06EF1BBE">
      <w:pPr>
        <w:spacing w:line="360" w:lineRule="auto"/>
        <w:ind w:firstLine="562" w:firstLineChars="200"/>
        <w:rPr>
          <w:b/>
          <w:sz w:val="28"/>
          <w:szCs w:val="28"/>
          <w:highlight w:val="none"/>
        </w:rPr>
      </w:pPr>
    </w:p>
    <w:p w14:paraId="1E07F7D5">
      <w:pPr>
        <w:spacing w:line="360" w:lineRule="auto"/>
        <w:ind w:firstLine="562" w:firstLineChars="200"/>
        <w:rPr>
          <w:b/>
          <w:sz w:val="28"/>
          <w:szCs w:val="28"/>
          <w:highlight w:val="none"/>
        </w:rPr>
      </w:pPr>
    </w:p>
    <w:p w14:paraId="32BB5583">
      <w:pPr>
        <w:spacing w:line="360" w:lineRule="auto"/>
        <w:ind w:firstLine="562" w:firstLineChars="200"/>
        <w:rPr>
          <w:b/>
          <w:sz w:val="28"/>
          <w:szCs w:val="28"/>
          <w:highlight w:val="none"/>
        </w:rPr>
      </w:pPr>
    </w:p>
    <w:p w14:paraId="57CC3FBB">
      <w:pPr>
        <w:spacing w:line="360" w:lineRule="auto"/>
        <w:ind w:firstLine="562" w:firstLineChars="200"/>
        <w:rPr>
          <w:b/>
          <w:sz w:val="28"/>
          <w:szCs w:val="28"/>
          <w:highlight w:val="none"/>
        </w:rPr>
      </w:pPr>
    </w:p>
    <w:p w14:paraId="51B5CB2A">
      <w:pPr>
        <w:spacing w:line="360" w:lineRule="auto"/>
        <w:ind w:firstLine="562" w:firstLineChars="200"/>
        <w:rPr>
          <w:b/>
          <w:sz w:val="28"/>
          <w:szCs w:val="28"/>
          <w:highlight w:val="none"/>
        </w:rPr>
      </w:pPr>
    </w:p>
    <w:p w14:paraId="463FE91E">
      <w:pPr>
        <w:spacing w:line="360" w:lineRule="auto"/>
        <w:ind w:firstLine="562" w:firstLineChars="200"/>
        <w:rPr>
          <w:b/>
          <w:sz w:val="28"/>
          <w:szCs w:val="28"/>
          <w:highlight w:val="none"/>
        </w:rPr>
      </w:pPr>
    </w:p>
    <w:p w14:paraId="1CDEFC17">
      <w:pPr>
        <w:spacing w:before="312" w:beforeLines="100" w:line="360" w:lineRule="auto"/>
        <w:ind w:firstLine="1265" w:firstLineChars="450"/>
        <w:jc w:val="left"/>
        <w:rPr>
          <w:rFonts w:ascii="Times New Roman" w:hAnsi="Times New Roman"/>
          <w:b/>
          <w:sz w:val="28"/>
          <w:szCs w:val="28"/>
          <w:highlight w:val="none"/>
          <w:u w:val="single"/>
        </w:rPr>
      </w:pPr>
      <w:r>
        <w:rPr>
          <w:rFonts w:ascii="Times New Roman" w:hAnsi="Times New Roman"/>
          <w:b/>
          <w:sz w:val="28"/>
          <w:szCs w:val="28"/>
          <w:highlight w:val="none"/>
        </w:rPr>
        <w:t>甲方（委托方）：</w:t>
      </w:r>
      <w:r>
        <w:rPr>
          <w:rFonts w:ascii="Times New Roman" w:hAnsi="Times New Roman"/>
          <w:b/>
          <w:sz w:val="28"/>
          <w:szCs w:val="28"/>
          <w:highlight w:val="none"/>
          <w:u w:val="single"/>
        </w:rPr>
        <w:t xml:space="preserve">                                </w:t>
      </w:r>
    </w:p>
    <w:p w14:paraId="3179D02E">
      <w:pPr>
        <w:spacing w:before="312" w:beforeLines="100" w:line="360" w:lineRule="auto"/>
        <w:ind w:firstLine="1265" w:firstLineChars="450"/>
        <w:jc w:val="left"/>
        <w:rPr>
          <w:rFonts w:ascii="Times New Roman" w:hAnsi="Times New Roman"/>
          <w:b/>
          <w:sz w:val="28"/>
          <w:szCs w:val="28"/>
          <w:highlight w:val="none"/>
        </w:rPr>
      </w:pPr>
      <w:r>
        <w:rPr>
          <w:rFonts w:ascii="Times New Roman" w:hAnsi="Times New Roman"/>
          <w:b/>
          <w:sz w:val="28"/>
          <w:szCs w:val="28"/>
          <w:highlight w:val="none"/>
        </w:rPr>
        <w:t>乙方（</w:t>
      </w:r>
      <w:r>
        <w:rPr>
          <w:rFonts w:hint="eastAsia" w:ascii="Times New Roman" w:hAnsi="Times New Roman"/>
          <w:b/>
          <w:sz w:val="28"/>
          <w:szCs w:val="28"/>
          <w:highlight w:val="none"/>
        </w:rPr>
        <w:t>服务</w:t>
      </w:r>
      <w:r>
        <w:rPr>
          <w:rFonts w:ascii="Times New Roman" w:hAnsi="Times New Roman"/>
          <w:b/>
          <w:sz w:val="28"/>
          <w:szCs w:val="28"/>
          <w:highlight w:val="none"/>
        </w:rPr>
        <w:t>方）：</w:t>
      </w:r>
      <w:r>
        <w:rPr>
          <w:rFonts w:ascii="Times New Roman" w:hAnsi="Times New Roman"/>
          <w:b/>
          <w:sz w:val="28"/>
          <w:szCs w:val="28"/>
          <w:highlight w:val="none"/>
          <w:u w:val="single"/>
        </w:rPr>
        <w:t xml:space="preserve">                                </w:t>
      </w:r>
      <w:r>
        <w:rPr>
          <w:rFonts w:ascii="Times New Roman" w:hAnsi="Times New Roman"/>
          <w:b/>
          <w:sz w:val="28"/>
          <w:szCs w:val="28"/>
          <w:highlight w:val="none"/>
        </w:rPr>
        <w:t xml:space="preserve"> </w:t>
      </w:r>
    </w:p>
    <w:p w14:paraId="293435AD">
      <w:pPr>
        <w:spacing w:line="360" w:lineRule="auto"/>
        <w:ind w:firstLine="562" w:firstLineChars="200"/>
        <w:rPr>
          <w:rFonts w:ascii="Times New Roman" w:hAnsi="Times New Roman"/>
          <w:b/>
          <w:sz w:val="28"/>
          <w:szCs w:val="28"/>
          <w:highlight w:val="none"/>
        </w:rPr>
      </w:pPr>
    </w:p>
    <w:p w14:paraId="52FBF3D4">
      <w:pPr>
        <w:spacing w:line="360" w:lineRule="auto"/>
        <w:ind w:firstLine="562" w:firstLineChars="200"/>
        <w:jc w:val="center"/>
        <w:rPr>
          <w:rFonts w:ascii="Times New Roman" w:hAnsi="Times New Roman"/>
          <w:b/>
          <w:sz w:val="28"/>
          <w:szCs w:val="28"/>
          <w:highlight w:val="none"/>
        </w:rPr>
      </w:pPr>
    </w:p>
    <w:p w14:paraId="26C5FEE2">
      <w:pPr>
        <w:spacing w:line="360" w:lineRule="auto"/>
        <w:ind w:firstLine="562" w:firstLineChars="200"/>
        <w:jc w:val="center"/>
        <w:rPr>
          <w:sz w:val="28"/>
          <w:szCs w:val="28"/>
          <w:highlight w:val="none"/>
        </w:rPr>
        <w:sectPr>
          <w:headerReference r:id="rId4" w:type="default"/>
          <w:footerReference r:id="rId5" w:type="even"/>
          <w:pgSz w:w="11906" w:h="16838"/>
          <w:pgMar w:top="1440" w:right="1418" w:bottom="1440" w:left="1418" w:header="851" w:footer="992" w:gutter="0"/>
          <w:cols w:space="425" w:num="1"/>
          <w:docGrid w:type="lines" w:linePitch="312" w:charSpace="0"/>
        </w:sectPr>
      </w:pPr>
      <w:r>
        <w:rPr>
          <w:rFonts w:ascii="Arial" w:hAnsi="Arial" w:cs="Arial"/>
          <w:b/>
          <w:sz w:val="28"/>
          <w:szCs w:val="28"/>
          <w:highlight w:val="none"/>
        </w:rPr>
        <w:t>20</w:t>
      </w:r>
      <w:r>
        <w:rPr>
          <w:rFonts w:hint="eastAsia" w:ascii="Arial" w:hAnsi="Arial" w:cs="Arial"/>
          <w:b/>
          <w:sz w:val="28"/>
          <w:szCs w:val="28"/>
          <w:highlight w:val="none"/>
        </w:rPr>
        <w:t>2</w:t>
      </w:r>
      <w:r>
        <w:rPr>
          <w:rFonts w:hint="eastAsia" w:ascii="Arial" w:hAnsi="Arial" w:cs="Arial"/>
          <w:b/>
          <w:sz w:val="28"/>
          <w:szCs w:val="28"/>
          <w:highlight w:val="none"/>
          <w:lang w:val="en-US" w:eastAsia="zh-CN"/>
        </w:rPr>
        <w:t>6</w:t>
      </w:r>
      <w:r>
        <w:rPr>
          <w:rFonts w:ascii="Arial" w:hAnsi="Arial" w:cs="Arial"/>
          <w:b/>
          <w:sz w:val="28"/>
          <w:szCs w:val="28"/>
          <w:highlight w:val="none"/>
        </w:rPr>
        <w:t>年</w:t>
      </w:r>
      <w:r>
        <w:rPr>
          <w:rFonts w:hint="eastAsia" w:ascii="Arial" w:hAnsi="Arial" w:cs="Arial"/>
          <w:b/>
          <w:sz w:val="28"/>
          <w:szCs w:val="28"/>
          <w:highlight w:val="none"/>
        </w:rPr>
        <w:t xml:space="preserve">  月</w:t>
      </w:r>
    </w:p>
    <w:p w14:paraId="14CFE90A">
      <w:pPr>
        <w:pStyle w:val="15"/>
        <w:spacing w:before="120" w:after="0"/>
        <w:rPr>
          <w:rFonts w:hint="eastAsia" w:ascii="仿宋" w:hAnsi="仿宋" w:eastAsia="仿宋" w:cs="仿宋"/>
          <w:bCs w:val="0"/>
          <w:color w:val="auto"/>
          <w:kern w:val="0"/>
          <w:highlight w:val="none"/>
          <w:lang w:eastAsia="zh-CN"/>
        </w:rPr>
      </w:pPr>
      <w:r>
        <w:rPr>
          <w:rFonts w:hint="eastAsia" w:ascii="仿宋" w:hAnsi="仿宋" w:eastAsia="仿宋" w:cs="仿宋"/>
          <w:bCs w:val="0"/>
          <w:color w:val="000000" w:themeColor="text1"/>
          <w:kern w:val="0"/>
          <w:highlight w:val="none"/>
          <w14:textFill>
            <w14:solidFill>
              <w14:schemeClr w14:val="tx1"/>
            </w14:solidFill>
          </w14:textFill>
        </w:rPr>
        <w:t>广州医科大学附属第三医院与XX</w:t>
      </w:r>
      <w:r>
        <w:rPr>
          <w:rFonts w:hint="eastAsia" w:ascii="仿宋" w:hAnsi="仿宋" w:eastAsia="仿宋" w:cs="仿宋"/>
          <w:bCs w:val="0"/>
          <w:color w:val="auto"/>
          <w:kern w:val="0"/>
          <w:highlight w:val="none"/>
          <w:lang w:val="en-US" w:eastAsia="zh-CN"/>
        </w:rPr>
        <w:t>公司</w:t>
      </w:r>
    </w:p>
    <w:p w14:paraId="072BDC4F">
      <w:pPr>
        <w:pStyle w:val="15"/>
        <w:spacing w:before="120" w:after="0"/>
        <w:rPr>
          <w:rFonts w:ascii="仿宋" w:hAnsi="仿宋" w:eastAsia="仿宋" w:cs="仿宋"/>
          <w:bCs w:val="0"/>
          <w:color w:val="000000" w:themeColor="text1"/>
          <w:kern w:val="0"/>
          <w:highlight w:val="none"/>
          <w14:textFill>
            <w14:solidFill>
              <w14:schemeClr w14:val="tx1"/>
            </w14:solidFill>
          </w14:textFill>
        </w:rPr>
      </w:pPr>
      <w:r>
        <w:rPr>
          <w:rFonts w:hint="eastAsia" w:ascii="仿宋" w:hAnsi="仿宋" w:eastAsia="仿宋" w:cs="仿宋"/>
          <w:bCs w:val="0"/>
          <w:color w:val="000000" w:themeColor="text1"/>
          <w:kern w:val="0"/>
          <w:highlight w:val="none"/>
          <w14:textFill>
            <w14:solidFill>
              <w14:schemeClr w14:val="tx1"/>
            </w14:solidFill>
          </w14:textFill>
        </w:rPr>
        <w:t>合作协议</w:t>
      </w:r>
    </w:p>
    <w:p w14:paraId="38AF749A">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甲方（委托方）：                             （以下简称甲方）</w:t>
      </w:r>
    </w:p>
    <w:p w14:paraId="3E1910BC">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统一社会信用代码：</w:t>
      </w:r>
    </w:p>
    <w:p w14:paraId="62A3DF80">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 xml:space="preserve">地址： </w:t>
      </w:r>
    </w:p>
    <w:p w14:paraId="43C21E39">
      <w:pPr>
        <w:spacing w:line="240" w:lineRule="auto"/>
        <w:rPr>
          <w:rFonts w:hint="eastAsia" w:ascii="宋体" w:hAnsi="宋体" w:eastAsia="宋体" w:cs="宋体"/>
          <w:sz w:val="20"/>
          <w:szCs w:val="20"/>
          <w:highlight w:val="none"/>
        </w:rPr>
      </w:pPr>
    </w:p>
    <w:p w14:paraId="090E39B1">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乙方（服务方）：</w:t>
      </w:r>
      <w:r>
        <w:rPr>
          <w:rFonts w:hint="eastAsia" w:ascii="宋体" w:hAnsi="宋体" w:eastAsia="宋体" w:cs="宋体"/>
          <w:b/>
          <w:bCs/>
          <w:sz w:val="20"/>
          <w:szCs w:val="20"/>
          <w:highlight w:val="none"/>
        </w:rPr>
        <w:t xml:space="preserve">                              </w:t>
      </w:r>
      <w:r>
        <w:rPr>
          <w:rFonts w:hint="eastAsia" w:ascii="宋体" w:hAnsi="宋体" w:eastAsia="宋体" w:cs="宋体"/>
          <w:sz w:val="20"/>
          <w:szCs w:val="20"/>
          <w:highlight w:val="none"/>
        </w:rPr>
        <w:t>（以下简称乙方）</w:t>
      </w:r>
    </w:p>
    <w:p w14:paraId="01C7EBA2">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统一社会信用代码：</w:t>
      </w:r>
    </w:p>
    <w:p w14:paraId="6DA75F65">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地址：</w:t>
      </w:r>
    </w:p>
    <w:p w14:paraId="490392B7">
      <w:pPr>
        <w:spacing w:line="240" w:lineRule="auto"/>
        <w:rPr>
          <w:rFonts w:hint="eastAsia" w:ascii="宋体" w:hAnsi="宋体" w:eastAsia="宋体" w:cs="宋体"/>
          <w:sz w:val="20"/>
          <w:szCs w:val="20"/>
          <w:highlight w:val="none"/>
        </w:rPr>
      </w:pPr>
    </w:p>
    <w:p w14:paraId="29204BFA">
      <w:pPr>
        <w:keepNext w:val="0"/>
        <w:keepLines w:val="0"/>
        <w:pageBreakBefore w:val="0"/>
        <w:wordWrap/>
        <w:overflowPunct/>
        <w:topLinePunct w:val="0"/>
        <w:bidi w:val="0"/>
        <w:spacing w:line="240" w:lineRule="auto"/>
        <w:ind w:firstLine="400" w:firstLineChars="200"/>
        <w:rPr>
          <w:rFonts w:hint="eastAsia" w:ascii="宋体" w:hAnsi="宋体" w:eastAsia="宋体" w:cs="宋体"/>
          <w:sz w:val="20"/>
          <w:szCs w:val="20"/>
          <w:highlight w:val="none"/>
        </w:rPr>
      </w:pPr>
      <w:r>
        <w:rPr>
          <w:rFonts w:hint="eastAsia" w:ascii="宋体" w:hAnsi="宋体" w:eastAsia="宋体" w:cs="宋体"/>
          <w:sz w:val="20"/>
          <w:szCs w:val="20"/>
          <w:highlight w:val="none"/>
        </w:rPr>
        <w:t>甲、乙双方本着“互惠互利、长期合作、共同发展”的原则，为提高医疗水平，降低医疗成本，实现资源共享，为病人提供优质的服务，发挥更大的社会效益，甲、乙双方经协商达成以下合作委托协议：</w:t>
      </w:r>
    </w:p>
    <w:p w14:paraId="570F72F6">
      <w:pPr>
        <w:keepNext w:val="0"/>
        <w:keepLines w:val="0"/>
        <w:pageBreakBefore w:val="0"/>
        <w:wordWrap/>
        <w:overflowPunct/>
        <w:topLinePunct w:val="0"/>
        <w:bidi w:val="0"/>
        <w:spacing w:line="240" w:lineRule="auto"/>
        <w:rPr>
          <w:rFonts w:hint="eastAsia" w:ascii="宋体" w:hAnsi="宋体" w:eastAsia="宋体" w:cs="宋体"/>
          <w:b/>
          <w:bCs/>
          <w:sz w:val="20"/>
          <w:szCs w:val="20"/>
          <w:highlight w:val="none"/>
        </w:rPr>
      </w:pPr>
    </w:p>
    <w:p w14:paraId="0DEC41D2">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4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b/>
          <w:bCs/>
          <w:color w:val="auto"/>
          <w:spacing w:val="11"/>
          <w:sz w:val="20"/>
          <w:szCs w:val="20"/>
          <w:highlight w:val="none"/>
        </w:rPr>
        <w:t>第一条</w:t>
      </w:r>
      <w:r>
        <w:rPr>
          <w:rFonts w:hint="eastAsia" w:ascii="宋体" w:hAnsi="宋体" w:eastAsia="宋体" w:cs="宋体"/>
          <w:b/>
          <w:bCs/>
          <w:color w:val="auto"/>
          <w:spacing w:val="11"/>
          <w:sz w:val="20"/>
          <w:szCs w:val="20"/>
          <w:highlight w:val="none"/>
          <w:lang w:val="en-US" w:eastAsia="zh-CN"/>
        </w:rPr>
        <w:t xml:space="preserve">  </w:t>
      </w:r>
      <w:r>
        <w:rPr>
          <w:rFonts w:hint="eastAsia" w:ascii="宋体" w:hAnsi="宋体" w:eastAsia="宋体" w:cs="宋体"/>
          <w:b/>
          <w:bCs/>
          <w:color w:val="auto"/>
          <w:spacing w:val="11"/>
          <w:sz w:val="20"/>
          <w:szCs w:val="20"/>
          <w:highlight w:val="none"/>
        </w:rPr>
        <w:t>服务方式</w:t>
      </w:r>
    </w:p>
    <w:p w14:paraId="09F27327">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528" w:firstLineChars="200"/>
        <w:jc w:val="both"/>
        <w:textAlignment w:val="auto"/>
        <w:outlineLvl w:val="9"/>
        <w:rPr>
          <w:rFonts w:hint="eastAsia" w:ascii="宋体" w:hAnsi="宋体" w:eastAsia="宋体" w:cs="宋体"/>
          <w:color w:val="auto"/>
          <w:spacing w:val="2"/>
          <w:sz w:val="20"/>
          <w:szCs w:val="20"/>
          <w:highlight w:val="none"/>
        </w:rPr>
      </w:pPr>
      <w:r>
        <w:rPr>
          <w:rFonts w:hint="eastAsia" w:ascii="宋体" w:hAnsi="宋体" w:eastAsia="宋体" w:cs="宋体"/>
          <w:color w:val="auto"/>
          <w:spacing w:val="32"/>
          <w:sz w:val="20"/>
          <w:szCs w:val="20"/>
          <w:highlight w:val="none"/>
        </w:rPr>
        <w:t>甲方及甲方所属医疗机构与乙方共同使用乙方的心脏监测设备</w:t>
      </w:r>
      <w:r>
        <w:rPr>
          <w:rFonts w:hint="eastAsia" w:ascii="宋体" w:hAnsi="宋体" w:eastAsia="宋体" w:cs="宋体"/>
          <w:color w:val="auto"/>
          <w:spacing w:val="15"/>
          <w:sz w:val="20"/>
          <w:szCs w:val="20"/>
          <w:highlight w:val="none"/>
        </w:rPr>
        <w:t>及技术软件为甲方的患者提供心电</w:t>
      </w:r>
      <w:r>
        <w:rPr>
          <w:rFonts w:hint="eastAsia" w:ascii="宋体" w:hAnsi="宋体" w:eastAsia="宋体" w:cs="宋体"/>
          <w:color w:val="auto"/>
          <w:spacing w:val="15"/>
          <w:sz w:val="20"/>
          <w:szCs w:val="20"/>
          <w:highlight w:val="none"/>
          <w:lang w:val="en-US" w:eastAsia="zh-CN"/>
        </w:rPr>
        <w:t>检测</w:t>
      </w:r>
      <w:r>
        <w:rPr>
          <w:rFonts w:hint="eastAsia" w:ascii="宋体" w:hAnsi="宋体" w:eastAsia="宋体" w:cs="宋体"/>
          <w:color w:val="auto"/>
          <w:spacing w:val="15"/>
          <w:sz w:val="20"/>
          <w:szCs w:val="20"/>
          <w:highlight w:val="none"/>
        </w:rPr>
        <w:t>服务</w:t>
      </w:r>
      <w:r>
        <w:rPr>
          <w:rFonts w:hint="eastAsia" w:ascii="宋体" w:hAnsi="宋体" w:eastAsia="宋体" w:cs="宋体"/>
          <w:color w:val="auto"/>
          <w:spacing w:val="14"/>
          <w:sz w:val="20"/>
          <w:szCs w:val="20"/>
          <w:highlight w:val="none"/>
        </w:rPr>
        <w:t>；乙方为甲方提供</w:t>
      </w:r>
      <w:r>
        <w:rPr>
          <w:rFonts w:hint="eastAsia" w:ascii="宋体" w:hAnsi="宋体" w:eastAsia="宋体" w:cs="宋体"/>
          <w:color w:val="auto"/>
          <w:spacing w:val="18"/>
          <w:sz w:val="20"/>
          <w:szCs w:val="20"/>
          <w:highlight w:val="none"/>
        </w:rPr>
        <w:t>远程心电数据</w:t>
      </w:r>
      <w:r>
        <w:rPr>
          <w:rFonts w:hint="eastAsia" w:ascii="宋体" w:hAnsi="宋体" w:eastAsia="宋体" w:cs="宋体"/>
          <w:color w:val="auto"/>
          <w:spacing w:val="17"/>
          <w:sz w:val="20"/>
          <w:szCs w:val="20"/>
          <w:highlight w:val="none"/>
          <w:lang w:val="en-US" w:eastAsia="zh-CN"/>
        </w:rPr>
        <w:t>预处理</w:t>
      </w:r>
      <w:r>
        <w:rPr>
          <w:rFonts w:hint="eastAsia" w:ascii="宋体" w:hAnsi="宋体" w:eastAsia="宋体" w:cs="宋体"/>
          <w:color w:val="auto"/>
          <w:spacing w:val="12"/>
          <w:sz w:val="20"/>
          <w:szCs w:val="20"/>
          <w:highlight w:val="none"/>
        </w:rPr>
        <w:t>服务</w:t>
      </w:r>
      <w:r>
        <w:rPr>
          <w:rFonts w:hint="eastAsia" w:ascii="宋体" w:hAnsi="宋体" w:eastAsia="宋体" w:cs="宋体"/>
          <w:color w:val="auto"/>
          <w:spacing w:val="12"/>
          <w:sz w:val="20"/>
          <w:szCs w:val="20"/>
          <w:highlight w:val="none"/>
          <w:lang w:val="en-US" w:eastAsia="zh-CN"/>
        </w:rPr>
        <w:t>和</w:t>
      </w:r>
      <w:r>
        <w:rPr>
          <w:rFonts w:hint="eastAsia" w:ascii="宋体" w:hAnsi="宋体" w:eastAsia="宋体" w:cs="宋体"/>
          <w:color w:val="auto"/>
          <w:spacing w:val="17"/>
          <w:sz w:val="20"/>
          <w:szCs w:val="20"/>
          <w:highlight w:val="none"/>
          <w:lang w:val="en-US" w:eastAsia="zh-CN"/>
        </w:rPr>
        <w:t>数据业务</w:t>
      </w:r>
      <w:r>
        <w:rPr>
          <w:rFonts w:hint="eastAsia" w:ascii="宋体" w:hAnsi="宋体" w:eastAsia="宋体" w:cs="宋体"/>
          <w:color w:val="auto"/>
          <w:spacing w:val="39"/>
          <w:sz w:val="20"/>
          <w:szCs w:val="20"/>
          <w:highlight w:val="none"/>
        </w:rPr>
        <w:t>,甲方</w:t>
      </w:r>
      <w:r>
        <w:rPr>
          <w:rFonts w:hint="eastAsia" w:ascii="宋体" w:hAnsi="宋体" w:eastAsia="宋体" w:cs="宋体"/>
          <w:color w:val="auto"/>
          <w:spacing w:val="15"/>
          <w:sz w:val="20"/>
          <w:szCs w:val="20"/>
          <w:highlight w:val="none"/>
        </w:rPr>
        <w:t>专业人员出具心电监护的诊断报告</w:t>
      </w:r>
      <w:r>
        <w:rPr>
          <w:rFonts w:hint="eastAsia" w:ascii="宋体" w:hAnsi="宋体" w:eastAsia="宋体" w:cs="宋体"/>
          <w:color w:val="auto"/>
          <w:spacing w:val="15"/>
          <w:sz w:val="20"/>
          <w:szCs w:val="20"/>
          <w:highlight w:val="none"/>
          <w:lang w:val="en-US" w:eastAsia="zh-CN"/>
        </w:rPr>
        <w:t>及签名</w:t>
      </w:r>
      <w:r>
        <w:rPr>
          <w:rFonts w:hint="eastAsia" w:ascii="宋体" w:hAnsi="宋体" w:eastAsia="宋体" w:cs="宋体"/>
          <w:color w:val="auto"/>
          <w:spacing w:val="15"/>
          <w:sz w:val="20"/>
          <w:szCs w:val="20"/>
          <w:highlight w:val="none"/>
        </w:rPr>
        <w:t>，乙方按照服务内容收取</w:t>
      </w:r>
      <w:r>
        <w:rPr>
          <w:rFonts w:hint="eastAsia" w:ascii="宋体" w:hAnsi="宋体" w:eastAsia="宋体" w:cs="宋体"/>
          <w:color w:val="auto"/>
          <w:spacing w:val="14"/>
          <w:sz w:val="20"/>
          <w:szCs w:val="20"/>
          <w:highlight w:val="none"/>
        </w:rPr>
        <w:t>技术</w:t>
      </w:r>
      <w:r>
        <w:rPr>
          <w:rFonts w:hint="eastAsia" w:ascii="宋体" w:hAnsi="宋体" w:eastAsia="宋体" w:cs="宋体"/>
          <w:color w:val="auto"/>
          <w:spacing w:val="-13"/>
          <w:sz w:val="20"/>
          <w:szCs w:val="20"/>
          <w:highlight w:val="none"/>
        </w:rPr>
        <w:t>服</w:t>
      </w:r>
      <w:r>
        <w:rPr>
          <w:rFonts w:hint="eastAsia" w:ascii="宋体" w:hAnsi="宋体" w:eastAsia="宋体" w:cs="宋体"/>
          <w:color w:val="auto"/>
          <w:spacing w:val="-13"/>
          <w:sz w:val="20"/>
          <w:szCs w:val="20"/>
          <w:highlight w:val="none"/>
          <w:lang w:val="en-US" w:eastAsia="zh-CN"/>
        </w:rPr>
        <w:t xml:space="preserve"> </w:t>
      </w:r>
      <w:r>
        <w:rPr>
          <w:rFonts w:hint="eastAsia" w:ascii="宋体" w:hAnsi="宋体" w:eastAsia="宋体" w:cs="宋体"/>
          <w:color w:val="auto"/>
          <w:spacing w:val="-13"/>
          <w:sz w:val="20"/>
          <w:szCs w:val="20"/>
          <w:highlight w:val="none"/>
        </w:rPr>
        <w:t>务</w:t>
      </w:r>
      <w:r>
        <w:rPr>
          <w:rFonts w:hint="eastAsia" w:ascii="宋体" w:hAnsi="宋体" w:eastAsia="宋体" w:cs="宋体"/>
          <w:color w:val="auto"/>
          <w:spacing w:val="-13"/>
          <w:sz w:val="20"/>
          <w:szCs w:val="20"/>
          <w:highlight w:val="none"/>
          <w:lang w:val="en-US" w:eastAsia="zh-CN"/>
        </w:rPr>
        <w:t xml:space="preserve"> </w:t>
      </w:r>
      <w:r>
        <w:rPr>
          <w:rFonts w:hint="eastAsia" w:ascii="宋体" w:hAnsi="宋体" w:eastAsia="宋体" w:cs="宋体"/>
          <w:color w:val="auto"/>
          <w:spacing w:val="-13"/>
          <w:sz w:val="20"/>
          <w:szCs w:val="20"/>
          <w:highlight w:val="none"/>
        </w:rPr>
        <w:t>费。</w:t>
      </w:r>
    </w:p>
    <w:p w14:paraId="472C3189">
      <w:pPr>
        <w:keepNext w:val="0"/>
        <w:keepLines w:val="0"/>
        <w:pageBreakBefore w:val="0"/>
        <w:widowControl w:val="0"/>
        <w:numPr>
          <w:ilvl w:val="0"/>
          <w:numId w:val="4"/>
        </w:numPr>
        <w:kinsoku w:val="0"/>
        <w:wordWrap/>
        <w:overflowPunct/>
        <w:topLinePunct w:val="0"/>
        <w:autoSpaceDE w:val="0"/>
        <w:autoSpaceDN w:val="0"/>
        <w:bidi w:val="0"/>
        <w:adjustRightInd w:val="0"/>
        <w:snapToGrid w:val="0"/>
        <w:spacing w:line="240" w:lineRule="auto"/>
        <w:ind w:right="0" w:rightChars="0" w:firstLine="414" w:firstLineChars="200"/>
        <w:jc w:val="both"/>
        <w:textAlignment w:val="auto"/>
        <w:outlineLvl w:val="9"/>
        <w:rPr>
          <w:rFonts w:hint="eastAsia" w:ascii="宋体" w:hAnsi="宋体" w:eastAsia="宋体" w:cs="宋体"/>
          <w:b/>
          <w:bCs/>
          <w:color w:val="auto"/>
          <w:spacing w:val="21"/>
          <w:sz w:val="20"/>
          <w:szCs w:val="20"/>
          <w:highlight w:val="none"/>
        </w:rPr>
      </w:pPr>
      <w:r>
        <w:rPr>
          <w:rFonts w:hint="eastAsia" w:ascii="宋体" w:hAnsi="宋体" w:eastAsia="宋体" w:cs="宋体"/>
          <w:b/>
          <w:bCs/>
          <w:color w:val="auto"/>
          <w:spacing w:val="3"/>
          <w:sz w:val="20"/>
          <w:szCs w:val="20"/>
          <w:highlight w:val="none"/>
          <w:lang w:val="en-US" w:eastAsia="zh-CN"/>
        </w:rPr>
        <w:t xml:space="preserve"> </w:t>
      </w:r>
      <w:r>
        <w:rPr>
          <w:rFonts w:hint="eastAsia" w:ascii="宋体" w:hAnsi="宋体" w:eastAsia="宋体" w:cs="宋体"/>
          <w:b/>
          <w:bCs/>
          <w:color w:val="auto"/>
          <w:spacing w:val="21"/>
          <w:sz w:val="20"/>
          <w:szCs w:val="20"/>
          <w:highlight w:val="none"/>
        </w:rPr>
        <w:t>服务期限</w:t>
      </w:r>
    </w:p>
    <w:p w14:paraId="33192A2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484"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b w:val="0"/>
          <w:bCs w:val="0"/>
          <w:color w:val="auto"/>
          <w:spacing w:val="21"/>
          <w:sz w:val="20"/>
          <w:szCs w:val="20"/>
          <w:highlight w:val="none"/>
          <w:lang w:val="en-US" w:eastAsia="zh-CN"/>
        </w:rPr>
        <w:t>服务期限：</w:t>
      </w:r>
      <w:r>
        <w:rPr>
          <w:rFonts w:hint="eastAsia" w:ascii="宋体" w:hAnsi="宋体" w:eastAsia="宋体" w:cs="宋体"/>
          <w:b w:val="0"/>
          <w:bCs w:val="0"/>
          <w:color w:val="auto"/>
          <w:sz w:val="20"/>
          <w:szCs w:val="20"/>
          <w:highlight w:val="none"/>
          <w:lang w:val="en-US" w:eastAsia="zh-CN"/>
        </w:rPr>
        <w:t>自</w:t>
      </w:r>
      <w:r>
        <w:rPr>
          <w:rFonts w:hint="eastAsia" w:ascii="宋体" w:hAnsi="宋体" w:eastAsia="宋体" w:cs="宋体"/>
          <w:b w:val="0"/>
          <w:bCs w:val="0"/>
          <w:color w:val="auto"/>
          <w:sz w:val="20"/>
          <w:szCs w:val="20"/>
          <w:highlight w:val="none"/>
        </w:rPr>
        <w:t>【</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】年【</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】月【</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】日至【</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】年【</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】月【</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】日</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为期：</w:t>
      </w:r>
      <w:r>
        <w:rPr>
          <w:rFonts w:hint="eastAsia" w:ascii="宋体" w:hAnsi="宋体" w:eastAsia="宋体" w:cs="宋体"/>
          <w:color w:val="auto"/>
          <w:spacing w:val="7"/>
          <w:sz w:val="20"/>
          <w:szCs w:val="20"/>
          <w:highlight w:val="none"/>
          <w:lang w:val="en-US" w:eastAsia="zh-CN"/>
        </w:rPr>
        <w:t>一年，或本项目采购预算使用结算完为止，以先到达的条件为准。</w:t>
      </w:r>
    </w:p>
    <w:p w14:paraId="2C962EF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428" w:firstLineChars="200"/>
        <w:jc w:val="both"/>
        <w:textAlignment w:val="auto"/>
        <w:outlineLvl w:val="9"/>
        <w:rPr>
          <w:rFonts w:hint="eastAsia" w:ascii="宋体" w:hAnsi="宋体" w:eastAsia="宋体" w:cs="宋体"/>
          <w:color w:val="auto"/>
          <w:spacing w:val="7"/>
          <w:sz w:val="20"/>
          <w:szCs w:val="20"/>
          <w:highlight w:val="none"/>
          <w:lang w:val="en-US" w:eastAsia="zh-CN"/>
        </w:rPr>
      </w:pPr>
    </w:p>
    <w:p w14:paraId="56AB658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414" w:firstLineChars="200"/>
        <w:jc w:val="both"/>
        <w:textAlignment w:val="auto"/>
        <w:outlineLvl w:val="9"/>
        <w:rPr>
          <w:rFonts w:hint="eastAsia" w:ascii="宋体" w:hAnsi="宋体" w:eastAsia="宋体" w:cs="宋体"/>
          <w:b/>
          <w:bCs/>
          <w:color w:val="auto"/>
          <w:spacing w:val="3"/>
          <w:sz w:val="20"/>
          <w:szCs w:val="20"/>
          <w:highlight w:val="none"/>
        </w:rPr>
      </w:pPr>
      <w:r>
        <w:rPr>
          <w:rFonts w:hint="eastAsia" w:ascii="宋体" w:hAnsi="宋体" w:eastAsia="宋体" w:cs="宋体"/>
          <w:b/>
          <w:bCs/>
          <w:color w:val="auto"/>
          <w:spacing w:val="3"/>
          <w:sz w:val="20"/>
          <w:szCs w:val="20"/>
          <w:highlight w:val="none"/>
        </w:rPr>
        <w:t>第三条</w:t>
      </w:r>
      <w:r>
        <w:rPr>
          <w:rFonts w:hint="eastAsia" w:ascii="宋体" w:hAnsi="宋体" w:eastAsia="宋体" w:cs="宋体"/>
          <w:b/>
          <w:bCs/>
          <w:color w:val="auto"/>
          <w:spacing w:val="3"/>
          <w:sz w:val="20"/>
          <w:szCs w:val="20"/>
          <w:highlight w:val="none"/>
          <w:lang w:val="en-US" w:eastAsia="zh-CN"/>
        </w:rPr>
        <w:t xml:space="preserve">  </w:t>
      </w:r>
      <w:r>
        <w:rPr>
          <w:rFonts w:hint="eastAsia" w:ascii="宋体" w:hAnsi="宋体" w:eastAsia="宋体" w:cs="宋体"/>
          <w:b/>
          <w:bCs/>
          <w:color w:val="auto"/>
          <w:spacing w:val="3"/>
          <w:sz w:val="20"/>
          <w:szCs w:val="20"/>
          <w:highlight w:val="none"/>
        </w:rPr>
        <w:t>各方权利义务</w:t>
      </w:r>
    </w:p>
    <w:p w14:paraId="36D1E69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414" w:firstLineChars="200"/>
        <w:jc w:val="both"/>
        <w:textAlignment w:val="auto"/>
        <w:outlineLvl w:val="9"/>
        <w:rPr>
          <w:rFonts w:hint="eastAsia" w:ascii="宋体" w:hAnsi="宋体" w:eastAsia="宋体" w:cs="宋体"/>
          <w:b/>
          <w:bCs/>
          <w:color w:val="auto"/>
          <w:spacing w:val="3"/>
          <w:sz w:val="20"/>
          <w:szCs w:val="20"/>
          <w:highlight w:val="none"/>
        </w:rPr>
      </w:pPr>
      <w:r>
        <w:rPr>
          <w:rFonts w:hint="eastAsia" w:ascii="宋体" w:hAnsi="宋体" w:eastAsia="宋体" w:cs="宋体"/>
          <w:b/>
          <w:bCs/>
          <w:color w:val="auto"/>
          <w:spacing w:val="3"/>
          <w:sz w:val="20"/>
          <w:szCs w:val="20"/>
          <w:highlight w:val="none"/>
        </w:rPr>
        <w:t>(一)甲方权利义务</w:t>
      </w:r>
    </w:p>
    <w:p w14:paraId="4CD79DA1">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4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1</w:t>
      </w:r>
      <w:r>
        <w:rPr>
          <w:rFonts w:hint="eastAsia" w:ascii="宋体" w:hAnsi="宋体" w:eastAsia="宋体" w:cs="宋体"/>
          <w:color w:val="auto"/>
          <w:spacing w:val="10"/>
          <w:sz w:val="20"/>
          <w:szCs w:val="20"/>
          <w:highlight w:val="none"/>
          <w:lang w:val="en-US" w:eastAsia="zh-CN"/>
        </w:rPr>
        <w:t>.</w:t>
      </w:r>
      <w:r>
        <w:rPr>
          <w:rFonts w:hint="eastAsia" w:ascii="宋体" w:hAnsi="宋体" w:eastAsia="宋体" w:cs="宋体"/>
          <w:color w:val="auto"/>
          <w:spacing w:val="17"/>
          <w:sz w:val="20"/>
          <w:szCs w:val="20"/>
          <w:highlight w:val="none"/>
        </w:rPr>
        <w:t>合同有效期内，甲乙双方根据业务开展需求，由乙方配备相</w:t>
      </w:r>
      <w:r>
        <w:rPr>
          <w:rFonts w:hint="eastAsia" w:ascii="宋体" w:hAnsi="宋体" w:eastAsia="宋体" w:cs="宋体"/>
          <w:color w:val="auto"/>
          <w:spacing w:val="31"/>
          <w:sz w:val="20"/>
          <w:szCs w:val="20"/>
          <w:highlight w:val="none"/>
        </w:rPr>
        <w:t>应的设备(设备明细作为合同附件，含规格、型号、配置、数量),</w:t>
      </w:r>
      <w:r>
        <w:rPr>
          <w:rFonts w:hint="eastAsia" w:ascii="宋体" w:hAnsi="宋体" w:eastAsia="宋体" w:cs="宋体"/>
          <w:color w:val="auto"/>
          <w:spacing w:val="15"/>
          <w:sz w:val="20"/>
          <w:szCs w:val="20"/>
          <w:highlight w:val="none"/>
        </w:rPr>
        <w:t xml:space="preserve"> </w:t>
      </w:r>
      <w:r>
        <w:rPr>
          <w:rFonts w:hint="eastAsia" w:ascii="宋体" w:hAnsi="宋体" w:eastAsia="宋体" w:cs="宋体"/>
          <w:color w:val="auto"/>
          <w:spacing w:val="9"/>
          <w:sz w:val="20"/>
          <w:szCs w:val="20"/>
          <w:highlight w:val="none"/>
        </w:rPr>
        <w:t>甲乙双方就本项目开展配套工具的使用情况进行实时监控，乙方可根</w:t>
      </w:r>
      <w:r>
        <w:rPr>
          <w:rFonts w:hint="eastAsia" w:ascii="宋体" w:hAnsi="宋体" w:eastAsia="宋体" w:cs="宋体"/>
          <w:color w:val="auto"/>
          <w:spacing w:val="11"/>
          <w:sz w:val="20"/>
          <w:szCs w:val="20"/>
          <w:highlight w:val="none"/>
        </w:rPr>
        <w:t>据配套工具的使用情况向甲方提出调整意见，双方协商无异议后进行</w:t>
      </w:r>
      <w:r>
        <w:rPr>
          <w:rFonts w:hint="eastAsia" w:ascii="宋体" w:hAnsi="宋体" w:eastAsia="宋体" w:cs="宋体"/>
          <w:color w:val="auto"/>
          <w:spacing w:val="18"/>
          <w:sz w:val="20"/>
          <w:szCs w:val="20"/>
          <w:highlight w:val="none"/>
        </w:rPr>
        <w:t>调配，确保配套工具能充分发挥作用。</w:t>
      </w:r>
    </w:p>
    <w:p w14:paraId="4836667F">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7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lang w:val="en-US" w:eastAsia="zh-CN"/>
        </w:rPr>
        <w:t>2.</w:t>
      </w:r>
      <w:r>
        <w:rPr>
          <w:rFonts w:hint="eastAsia" w:ascii="宋体" w:hAnsi="宋体" w:eastAsia="宋体" w:cs="宋体"/>
          <w:color w:val="auto"/>
          <w:spacing w:val="19"/>
          <w:sz w:val="20"/>
          <w:szCs w:val="20"/>
          <w:highlight w:val="none"/>
        </w:rPr>
        <w:t>乙方对项目中提供的技术服务配套工具进行安装、调试，稳</w:t>
      </w:r>
      <w:r>
        <w:rPr>
          <w:rFonts w:hint="eastAsia" w:ascii="宋体" w:hAnsi="宋体" w:eastAsia="宋体" w:cs="宋体"/>
          <w:color w:val="auto"/>
          <w:spacing w:val="11"/>
          <w:sz w:val="20"/>
          <w:szCs w:val="20"/>
          <w:highlight w:val="none"/>
        </w:rPr>
        <w:t>定运行后向甲方使用科室专业技术人员进行培训时，甲方需配合乙方</w:t>
      </w:r>
      <w:r>
        <w:rPr>
          <w:rFonts w:hint="eastAsia" w:ascii="宋体" w:hAnsi="宋体" w:eastAsia="宋体" w:cs="宋体"/>
          <w:color w:val="auto"/>
          <w:spacing w:val="17"/>
          <w:sz w:val="20"/>
          <w:szCs w:val="20"/>
          <w:highlight w:val="none"/>
        </w:rPr>
        <w:t>准备好系统实施环境，召集科室人员进行集中学习培训。</w:t>
      </w:r>
    </w:p>
    <w:p w14:paraId="6F299467">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7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lang w:val="en-US" w:eastAsia="zh-CN"/>
        </w:rPr>
        <w:t>3.</w:t>
      </w:r>
      <w:r>
        <w:rPr>
          <w:rFonts w:hint="eastAsia" w:ascii="宋体" w:hAnsi="宋体" w:eastAsia="宋体" w:cs="宋体"/>
          <w:color w:val="auto"/>
          <w:spacing w:val="12"/>
          <w:sz w:val="20"/>
          <w:szCs w:val="20"/>
          <w:highlight w:val="none"/>
        </w:rPr>
        <w:t>乙方向甲方</w:t>
      </w:r>
      <w:r>
        <w:rPr>
          <w:rFonts w:hint="eastAsia" w:ascii="宋体" w:hAnsi="宋体" w:eastAsia="宋体" w:cs="宋体"/>
          <w:color w:val="auto"/>
          <w:spacing w:val="32"/>
          <w:sz w:val="20"/>
          <w:szCs w:val="20"/>
          <w:highlight w:val="none"/>
        </w:rPr>
        <w:t>提供心电</w:t>
      </w:r>
      <w:r>
        <w:rPr>
          <w:rFonts w:hint="eastAsia" w:ascii="宋体" w:hAnsi="宋体" w:eastAsia="宋体" w:cs="宋体"/>
          <w:color w:val="auto"/>
          <w:spacing w:val="32"/>
          <w:sz w:val="20"/>
          <w:szCs w:val="20"/>
          <w:highlight w:val="none"/>
          <w:lang w:val="en-US" w:eastAsia="zh-CN"/>
        </w:rPr>
        <w:t>检测</w:t>
      </w:r>
      <w:r>
        <w:rPr>
          <w:rFonts w:hint="eastAsia" w:ascii="宋体" w:hAnsi="宋体" w:eastAsia="宋体" w:cs="宋体"/>
          <w:color w:val="auto"/>
          <w:spacing w:val="32"/>
          <w:sz w:val="20"/>
          <w:szCs w:val="20"/>
          <w:highlight w:val="none"/>
        </w:rPr>
        <w:t>的相关数据供甲方专业人技术人员作为疾病诊断的重</w:t>
      </w:r>
      <w:r>
        <w:rPr>
          <w:rFonts w:hint="eastAsia" w:ascii="宋体" w:hAnsi="宋体" w:eastAsia="宋体" w:cs="宋体"/>
          <w:color w:val="auto"/>
          <w:spacing w:val="18"/>
          <w:sz w:val="20"/>
          <w:szCs w:val="20"/>
          <w:highlight w:val="none"/>
        </w:rPr>
        <w:t>要参考依据，甲方诊断医师最终出具含签字的诊断报告。</w:t>
      </w:r>
    </w:p>
    <w:p w14:paraId="29599A67">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92"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3"/>
          <w:sz w:val="20"/>
          <w:szCs w:val="20"/>
          <w:highlight w:val="none"/>
          <w:lang w:val="en-US" w:eastAsia="zh-CN"/>
        </w:rPr>
        <w:t>4.</w:t>
      </w:r>
      <w:r>
        <w:rPr>
          <w:rFonts w:hint="eastAsia" w:ascii="宋体" w:hAnsi="宋体" w:eastAsia="宋体" w:cs="宋体"/>
          <w:color w:val="auto"/>
          <w:spacing w:val="23"/>
          <w:sz w:val="20"/>
          <w:szCs w:val="20"/>
          <w:highlight w:val="none"/>
        </w:rPr>
        <w:t>乙方能够按照合同约定完成相关服务后</w:t>
      </w:r>
      <w:r>
        <w:rPr>
          <w:rFonts w:hint="eastAsia" w:ascii="宋体" w:hAnsi="宋体" w:eastAsia="宋体" w:cs="宋体"/>
          <w:color w:val="auto"/>
          <w:spacing w:val="17"/>
          <w:sz w:val="20"/>
          <w:szCs w:val="20"/>
          <w:highlight w:val="none"/>
        </w:rPr>
        <w:t>，甲方应按照合同规定及时向乙方支付技术服务费。</w:t>
      </w:r>
    </w:p>
    <w:p w14:paraId="63D6F9A9">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9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4"/>
          <w:sz w:val="20"/>
          <w:szCs w:val="20"/>
          <w:highlight w:val="none"/>
          <w:lang w:val="en-US" w:eastAsia="zh-CN"/>
        </w:rPr>
        <w:t>5.</w:t>
      </w:r>
      <w:r>
        <w:rPr>
          <w:rFonts w:hint="eastAsia" w:ascii="宋体" w:hAnsi="宋体" w:eastAsia="宋体" w:cs="宋体"/>
          <w:color w:val="auto"/>
          <w:spacing w:val="24"/>
          <w:sz w:val="20"/>
          <w:szCs w:val="20"/>
          <w:highlight w:val="none"/>
        </w:rPr>
        <w:t>甲方应妥善保管乙方提供的技术服务配套工具，并在乙方的</w:t>
      </w:r>
      <w:r>
        <w:rPr>
          <w:rFonts w:hint="eastAsia" w:ascii="宋体" w:hAnsi="宋体" w:eastAsia="宋体" w:cs="宋体"/>
          <w:color w:val="auto"/>
          <w:spacing w:val="17"/>
          <w:sz w:val="20"/>
          <w:szCs w:val="20"/>
          <w:highlight w:val="none"/>
        </w:rPr>
        <w:t>指导下正确使用。如服务期间因甲方原因引起工具丢失的，</w:t>
      </w:r>
      <w:r>
        <w:rPr>
          <w:rFonts w:hint="eastAsia" w:ascii="宋体" w:hAnsi="宋体" w:eastAsia="宋体" w:cs="宋体"/>
          <w:color w:val="auto"/>
          <w:spacing w:val="16"/>
          <w:sz w:val="20"/>
          <w:szCs w:val="20"/>
          <w:highlight w:val="none"/>
        </w:rPr>
        <w:t>甲方应承担相应的赔偿责任；如因甲方原因导致的工具损坏，甲方</w:t>
      </w:r>
      <w:r>
        <w:rPr>
          <w:rFonts w:hint="eastAsia" w:ascii="宋体" w:hAnsi="宋体" w:eastAsia="宋体" w:cs="宋体"/>
          <w:color w:val="auto"/>
          <w:spacing w:val="15"/>
          <w:sz w:val="20"/>
          <w:szCs w:val="20"/>
          <w:highlight w:val="none"/>
        </w:rPr>
        <w:t>应向乙方承</w:t>
      </w:r>
      <w:r>
        <w:rPr>
          <w:rFonts w:hint="eastAsia" w:ascii="宋体" w:hAnsi="宋体" w:eastAsia="宋体" w:cs="宋体"/>
          <w:color w:val="auto"/>
          <w:spacing w:val="12"/>
          <w:sz w:val="20"/>
          <w:szCs w:val="20"/>
          <w:highlight w:val="none"/>
        </w:rPr>
        <w:t>担配件成本费用，因患者使用不当导致配套工具损坏，与甲方无</w:t>
      </w:r>
      <w:r>
        <w:rPr>
          <w:rFonts w:hint="eastAsia" w:ascii="宋体" w:hAnsi="宋体" w:eastAsia="宋体" w:cs="宋体"/>
          <w:color w:val="auto"/>
          <w:spacing w:val="11"/>
          <w:sz w:val="20"/>
          <w:szCs w:val="20"/>
          <w:highlight w:val="none"/>
        </w:rPr>
        <w:t>关</w:t>
      </w:r>
      <w:r>
        <w:rPr>
          <w:rFonts w:hint="eastAsia" w:ascii="宋体" w:hAnsi="宋体" w:eastAsia="宋体" w:cs="宋体"/>
          <w:color w:val="auto"/>
          <w:spacing w:val="11"/>
          <w:sz w:val="20"/>
          <w:szCs w:val="20"/>
          <w:highlight w:val="none"/>
          <w:lang w:eastAsia="zh-CN"/>
        </w:rPr>
        <w:t>，</w:t>
      </w:r>
      <w:r>
        <w:rPr>
          <w:rFonts w:hint="eastAsia" w:ascii="宋体" w:hAnsi="宋体" w:eastAsia="宋体" w:cs="宋体"/>
          <w:color w:val="auto"/>
          <w:spacing w:val="27"/>
          <w:sz w:val="20"/>
          <w:szCs w:val="20"/>
          <w:highlight w:val="none"/>
        </w:rPr>
        <w:t>甲方配合乙方按照乙方工具损坏情况及乙方要求赔偿的数额要求患</w:t>
      </w:r>
      <w:r>
        <w:rPr>
          <w:rFonts w:hint="eastAsia" w:ascii="宋体" w:hAnsi="宋体" w:eastAsia="宋体" w:cs="宋体"/>
          <w:color w:val="auto"/>
          <w:spacing w:val="14"/>
          <w:sz w:val="20"/>
          <w:szCs w:val="20"/>
          <w:highlight w:val="none"/>
        </w:rPr>
        <w:t>者进行赔偿，赔偿金由患者直接交给乙方指定账户。</w:t>
      </w:r>
    </w:p>
    <w:p w14:paraId="5547F13E">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02" w:firstLineChars="200"/>
        <w:jc w:val="both"/>
        <w:textAlignment w:val="auto"/>
        <w:outlineLvl w:val="9"/>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rPr>
        <w:drawing>
          <wp:anchor distT="0" distB="0" distL="114300" distR="114300" simplePos="0" relativeHeight="251660288" behindDoc="1" locked="0" layoutInCell="1" allowOverlap="1">
            <wp:simplePos x="0" y="0"/>
            <wp:positionH relativeFrom="column">
              <wp:posOffset>12669520</wp:posOffset>
            </wp:positionH>
            <wp:positionV relativeFrom="paragraph">
              <wp:posOffset>300355</wp:posOffset>
            </wp:positionV>
            <wp:extent cx="151130" cy="450215"/>
            <wp:effectExtent l="0" t="0" r="1270" b="6985"/>
            <wp:wrapNone/>
            <wp:docPr id="6" name="IM 8"/>
            <wp:cNvGraphicFramePr/>
            <a:graphic xmlns:a="http://schemas.openxmlformats.org/drawingml/2006/main">
              <a:graphicData uri="http://schemas.openxmlformats.org/drawingml/2006/picture">
                <pic:pic xmlns:pic="http://schemas.openxmlformats.org/drawingml/2006/picture">
                  <pic:nvPicPr>
                    <pic:cNvPr id="6" name="IM 8"/>
                    <pic:cNvPicPr/>
                  </pic:nvPicPr>
                  <pic:blipFill>
                    <a:blip r:embed="rId8"/>
                    <a:stretch>
                      <a:fillRect/>
                    </a:stretch>
                  </pic:blipFill>
                  <pic:spPr>
                    <a:xfrm>
                      <a:off x="0" y="0"/>
                      <a:ext cx="151130" cy="450215"/>
                    </a:xfrm>
                    <a:prstGeom prst="rect">
                      <a:avLst/>
                    </a:prstGeom>
                    <a:noFill/>
                    <a:ln>
                      <a:noFill/>
                    </a:ln>
                  </pic:spPr>
                </pic:pic>
              </a:graphicData>
            </a:graphic>
          </wp:anchor>
        </w:drawing>
      </w:r>
      <w:r>
        <w:rPr>
          <w:rFonts w:hint="eastAsia" w:ascii="宋体" w:hAnsi="宋体" w:eastAsia="宋体" w:cs="宋体"/>
          <w:b/>
          <w:bCs/>
          <w:color w:val="auto"/>
          <w:spacing w:val="47"/>
          <w:sz w:val="20"/>
          <w:szCs w:val="20"/>
          <w:highlight w:val="none"/>
        </w:rPr>
        <w:t>(二)乙方的</w:t>
      </w:r>
      <w:r>
        <w:rPr>
          <w:rFonts w:hint="eastAsia" w:ascii="宋体" w:hAnsi="宋体" w:eastAsia="宋体" w:cs="宋体"/>
          <w:b/>
          <w:bCs/>
          <w:color w:val="auto"/>
          <w:spacing w:val="47"/>
          <w:sz w:val="20"/>
          <w:szCs w:val="20"/>
          <w:highlight w:val="none"/>
          <w:lang w:eastAsia="zh-CN"/>
        </w:rPr>
        <w:t>权利义务</w:t>
      </w:r>
    </w:p>
    <w:p w14:paraId="4AC1354E">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8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0"/>
          <w:sz w:val="20"/>
          <w:szCs w:val="20"/>
          <w:highlight w:val="none"/>
        </w:rPr>
        <w:t>1</w:t>
      </w:r>
      <w:r>
        <w:rPr>
          <w:rFonts w:hint="eastAsia" w:ascii="宋体" w:hAnsi="宋体" w:eastAsia="宋体" w:cs="宋体"/>
          <w:color w:val="auto"/>
          <w:spacing w:val="20"/>
          <w:sz w:val="20"/>
          <w:szCs w:val="20"/>
          <w:highlight w:val="none"/>
          <w:lang w:val="en-US" w:eastAsia="zh-CN"/>
        </w:rPr>
        <w:t>.</w:t>
      </w:r>
      <w:r>
        <w:rPr>
          <w:rFonts w:hint="eastAsia" w:ascii="宋体" w:hAnsi="宋体" w:eastAsia="宋体" w:cs="宋体"/>
          <w:color w:val="auto"/>
          <w:spacing w:val="20"/>
          <w:sz w:val="20"/>
          <w:szCs w:val="20"/>
          <w:highlight w:val="none"/>
        </w:rPr>
        <w:t>乙方依照合作内容结合甲方建议，向甲方提供</w:t>
      </w:r>
      <w:r>
        <w:rPr>
          <w:rFonts w:hint="eastAsia" w:ascii="宋体" w:hAnsi="宋体" w:eastAsia="宋体" w:cs="宋体"/>
          <w:color w:val="auto"/>
          <w:spacing w:val="19"/>
          <w:sz w:val="20"/>
          <w:szCs w:val="20"/>
          <w:highlight w:val="none"/>
        </w:rPr>
        <w:t>软硬件(</w:t>
      </w:r>
      <w:r>
        <w:rPr>
          <w:rFonts w:hint="eastAsia" w:ascii="宋体" w:hAnsi="宋体" w:eastAsia="宋体" w:cs="宋体"/>
          <w:color w:val="auto"/>
          <w:spacing w:val="21"/>
          <w:sz w:val="20"/>
          <w:szCs w:val="20"/>
          <w:highlight w:val="none"/>
        </w:rPr>
        <w:t>智能心电信息化系统软件，心电中心设备等)配套</w:t>
      </w:r>
      <w:r>
        <w:rPr>
          <w:rFonts w:hint="eastAsia" w:ascii="宋体" w:hAnsi="宋体" w:eastAsia="宋体" w:cs="宋体"/>
          <w:color w:val="auto"/>
          <w:spacing w:val="12"/>
          <w:sz w:val="20"/>
          <w:szCs w:val="20"/>
          <w:highlight w:val="none"/>
        </w:rPr>
        <w:t>工具。功能使用文档提供给甲方信息相关技术人员。</w:t>
      </w:r>
    </w:p>
    <w:p w14:paraId="23FE97EB">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84"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2</w:t>
      </w:r>
      <w:r>
        <w:rPr>
          <w:rFonts w:hint="eastAsia" w:ascii="宋体" w:hAnsi="宋体" w:eastAsia="宋体" w:cs="宋体"/>
          <w:color w:val="auto"/>
          <w:spacing w:val="21"/>
          <w:sz w:val="20"/>
          <w:szCs w:val="20"/>
          <w:highlight w:val="none"/>
          <w:lang w:val="en-US" w:eastAsia="zh-CN"/>
        </w:rPr>
        <w:t>.</w:t>
      </w:r>
      <w:r>
        <w:rPr>
          <w:rFonts w:hint="eastAsia" w:ascii="宋体" w:hAnsi="宋体" w:eastAsia="宋体" w:cs="宋体"/>
          <w:color w:val="auto"/>
          <w:spacing w:val="21"/>
          <w:sz w:val="20"/>
          <w:szCs w:val="20"/>
          <w:highlight w:val="none"/>
        </w:rPr>
        <w:t>乙方应对心电监护设备、软件以及分析数据提供专网服务，</w:t>
      </w:r>
      <w:r>
        <w:rPr>
          <w:rFonts w:hint="eastAsia" w:ascii="宋体" w:hAnsi="宋体" w:eastAsia="宋体" w:cs="宋体"/>
          <w:color w:val="auto"/>
          <w:spacing w:val="11"/>
          <w:sz w:val="20"/>
          <w:szCs w:val="20"/>
          <w:highlight w:val="none"/>
        </w:rPr>
        <w:t>网络安全管理服务、灾备服务、远程动态心电数据的分析服务</w:t>
      </w:r>
      <w:r>
        <w:rPr>
          <w:rFonts w:hint="eastAsia" w:ascii="宋体" w:hAnsi="宋体" w:eastAsia="宋体" w:cs="宋体"/>
          <w:color w:val="auto"/>
          <w:spacing w:val="21"/>
          <w:sz w:val="20"/>
          <w:szCs w:val="20"/>
          <w:highlight w:val="none"/>
        </w:rPr>
        <w:t>等。(包括但不限于：提供远程动态心电数据的预分析服务</w:t>
      </w:r>
      <w:r>
        <w:rPr>
          <w:rFonts w:hint="eastAsia" w:ascii="宋体" w:hAnsi="宋体" w:eastAsia="宋体" w:cs="宋体"/>
          <w:color w:val="auto"/>
          <w:spacing w:val="12"/>
          <w:sz w:val="20"/>
          <w:szCs w:val="20"/>
          <w:highlight w:val="none"/>
        </w:rPr>
        <w:t>项目的数据加密传输和调度服务；提供远程动态心电数据的预分</w:t>
      </w:r>
      <w:r>
        <w:rPr>
          <w:rFonts w:hint="eastAsia" w:ascii="宋体" w:hAnsi="宋体" w:eastAsia="宋体" w:cs="宋体"/>
          <w:color w:val="auto"/>
          <w:spacing w:val="13"/>
          <w:sz w:val="20"/>
          <w:szCs w:val="20"/>
          <w:highlight w:val="none"/>
        </w:rPr>
        <w:t>析服务项目的网络安全监测、反病毒破坏、反黑客攻击等全面的网络</w:t>
      </w:r>
      <w:r>
        <w:rPr>
          <w:rFonts w:hint="eastAsia" w:ascii="宋体" w:hAnsi="宋体" w:eastAsia="宋体" w:cs="宋体"/>
          <w:color w:val="auto"/>
          <w:spacing w:val="12"/>
          <w:sz w:val="20"/>
          <w:szCs w:val="20"/>
          <w:highlight w:val="none"/>
        </w:rPr>
        <w:t>管理服务；提供数据同步备份、应急灾备启动、灾难恢复等服务；提供心电监测数据的分析筛查服务；</w:t>
      </w:r>
      <w:r>
        <w:rPr>
          <w:rFonts w:hint="eastAsia" w:ascii="宋体" w:hAnsi="宋体" w:eastAsia="宋体" w:cs="宋体"/>
          <w:color w:val="auto"/>
          <w:spacing w:val="-5"/>
          <w:sz w:val="20"/>
          <w:szCs w:val="20"/>
          <w:highlight w:val="none"/>
        </w:rPr>
        <w:t>甲方</w:t>
      </w:r>
      <w:r>
        <w:rPr>
          <w:rFonts w:hint="eastAsia" w:ascii="宋体" w:hAnsi="宋体" w:eastAsia="宋体" w:cs="宋体"/>
          <w:color w:val="auto"/>
          <w:spacing w:val="15"/>
          <w:sz w:val="20"/>
          <w:szCs w:val="20"/>
          <w:highlight w:val="none"/>
        </w:rPr>
        <w:t>应提供相应的专网环境和设备设施。</w:t>
      </w:r>
    </w:p>
    <w:p w14:paraId="2A7D9CFB">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48" w:firstLineChars="200"/>
        <w:jc w:val="both"/>
        <w:textAlignment w:val="auto"/>
        <w:outlineLvl w:val="9"/>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drawing>
          <wp:anchor distT="0" distB="0" distL="114300" distR="114300" simplePos="0" relativeHeight="251659264" behindDoc="1" locked="0" layoutInCell="1" allowOverlap="1">
            <wp:simplePos x="0" y="0"/>
            <wp:positionH relativeFrom="column">
              <wp:posOffset>12706985</wp:posOffset>
            </wp:positionH>
            <wp:positionV relativeFrom="paragraph">
              <wp:posOffset>901700</wp:posOffset>
            </wp:positionV>
            <wp:extent cx="113030" cy="360680"/>
            <wp:effectExtent l="0" t="0" r="1270" b="1270"/>
            <wp:wrapNone/>
            <wp:docPr id="4" name="IM 10"/>
            <wp:cNvGraphicFramePr/>
            <a:graphic xmlns:a="http://schemas.openxmlformats.org/drawingml/2006/main">
              <a:graphicData uri="http://schemas.openxmlformats.org/drawingml/2006/picture">
                <pic:pic xmlns:pic="http://schemas.openxmlformats.org/drawingml/2006/picture">
                  <pic:nvPicPr>
                    <pic:cNvPr id="4" name="IM 10"/>
                    <pic:cNvPicPr/>
                  </pic:nvPicPr>
                  <pic:blipFill>
                    <a:blip r:embed="rId9"/>
                    <a:stretch>
                      <a:fillRect/>
                    </a:stretch>
                  </pic:blipFill>
                  <pic:spPr>
                    <a:xfrm>
                      <a:off x="0" y="0"/>
                      <a:ext cx="113030" cy="360680"/>
                    </a:xfrm>
                    <a:prstGeom prst="rect">
                      <a:avLst/>
                    </a:prstGeom>
                    <a:noFill/>
                    <a:ln>
                      <a:noFill/>
                    </a:ln>
                  </pic:spPr>
                </pic:pic>
              </a:graphicData>
            </a:graphic>
          </wp:anchor>
        </w:drawing>
      </w:r>
      <w:r>
        <w:rPr>
          <w:rFonts w:hint="eastAsia" w:ascii="宋体" w:hAnsi="宋体" w:eastAsia="宋体" w:cs="宋体"/>
          <w:color w:val="auto"/>
          <w:spacing w:val="12"/>
          <w:sz w:val="20"/>
          <w:szCs w:val="20"/>
          <w:highlight w:val="none"/>
        </w:rPr>
        <w:t>3</w:t>
      </w:r>
      <w:r>
        <w:rPr>
          <w:rFonts w:hint="eastAsia" w:ascii="宋体" w:hAnsi="宋体" w:eastAsia="宋体" w:cs="宋体"/>
          <w:color w:val="auto"/>
          <w:spacing w:val="12"/>
          <w:sz w:val="20"/>
          <w:szCs w:val="20"/>
          <w:highlight w:val="none"/>
          <w:lang w:val="en-US" w:eastAsia="zh-CN"/>
        </w:rPr>
        <w:t>.</w:t>
      </w:r>
      <w:r>
        <w:rPr>
          <w:rFonts w:hint="eastAsia" w:ascii="宋体" w:hAnsi="宋体" w:eastAsia="宋体" w:cs="宋体"/>
          <w:color w:val="auto"/>
          <w:spacing w:val="12"/>
          <w:sz w:val="20"/>
          <w:szCs w:val="20"/>
          <w:highlight w:val="none"/>
        </w:rPr>
        <w:t>乙方负责案涉产品的安装、调试、日常维护工作，并向甲方交付电子版产品操作手册；同时为甲方使用人员提供为期一周的专项操作培训，培训需保障参训人员考核合格率达到 100%。若甲方工作人员未按规范操作软件引发故障、差错的，该情形不属于乙方培训合格保证范畴，但乙方仍有义务配合甲方及时排查、处置对应故障。</w:t>
      </w:r>
    </w:p>
    <w:p w14:paraId="1C32108B">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9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4"/>
          <w:sz w:val="20"/>
          <w:szCs w:val="20"/>
          <w:highlight w:val="none"/>
          <w:lang w:val="en-US" w:eastAsia="zh-CN"/>
        </w:rPr>
        <w:t>4.</w:t>
      </w:r>
      <w:r>
        <w:rPr>
          <w:rFonts w:hint="eastAsia" w:ascii="宋体" w:hAnsi="宋体" w:eastAsia="宋体" w:cs="宋体"/>
          <w:color w:val="auto"/>
          <w:spacing w:val="24"/>
          <w:sz w:val="20"/>
          <w:szCs w:val="20"/>
          <w:highlight w:val="none"/>
        </w:rPr>
        <w:t>服务期内，乙方对设备进行实时动态追踪管理，同时对</w:t>
      </w:r>
      <w:r>
        <w:rPr>
          <w:rFonts w:hint="eastAsia" w:ascii="宋体" w:hAnsi="宋体" w:eastAsia="宋体" w:cs="宋体"/>
          <w:color w:val="auto"/>
          <w:spacing w:val="41"/>
          <w:sz w:val="20"/>
          <w:szCs w:val="20"/>
          <w:highlight w:val="none"/>
        </w:rPr>
        <w:t>设备的安全稳定运行进行日常的保养和维护(每季度一次),对于设</w:t>
      </w:r>
      <w:r>
        <w:rPr>
          <w:rFonts w:hint="eastAsia" w:ascii="宋体" w:hAnsi="宋体" w:eastAsia="宋体" w:cs="宋体"/>
          <w:color w:val="auto"/>
          <w:spacing w:val="34"/>
          <w:sz w:val="20"/>
          <w:szCs w:val="20"/>
          <w:highlight w:val="none"/>
        </w:rPr>
        <w:t>备发生的故障，乙方应在甲方使用科室电话通知24</w:t>
      </w:r>
      <w:r>
        <w:rPr>
          <w:rFonts w:hint="eastAsia" w:ascii="宋体" w:hAnsi="宋体" w:eastAsia="宋体" w:cs="宋体"/>
          <w:color w:val="auto"/>
          <w:spacing w:val="33"/>
          <w:sz w:val="20"/>
          <w:szCs w:val="20"/>
          <w:highlight w:val="none"/>
        </w:rPr>
        <w:t>小时内指派专业</w:t>
      </w:r>
      <w:r>
        <w:rPr>
          <w:rFonts w:hint="eastAsia" w:ascii="宋体" w:hAnsi="宋体" w:eastAsia="宋体" w:cs="宋体"/>
          <w:color w:val="auto"/>
          <w:spacing w:val="16"/>
          <w:sz w:val="20"/>
          <w:szCs w:val="20"/>
          <w:highlight w:val="none"/>
        </w:rPr>
        <w:t>维修人员进行解决。服务期限内，乙方的设备及系统发生的故障，乙</w:t>
      </w:r>
      <w:r>
        <w:rPr>
          <w:rFonts w:hint="eastAsia" w:ascii="宋体" w:hAnsi="宋体" w:eastAsia="宋体" w:cs="宋体"/>
          <w:color w:val="auto"/>
          <w:spacing w:val="1"/>
          <w:sz w:val="20"/>
          <w:szCs w:val="20"/>
          <w:highlight w:val="none"/>
        </w:rPr>
        <w:t>方应自行对其设备进行维护或更换修正，配件免费维修及更换，软件</w:t>
      </w:r>
      <w:r>
        <w:rPr>
          <w:rFonts w:hint="eastAsia" w:ascii="宋体" w:hAnsi="宋体" w:eastAsia="宋体" w:cs="宋体"/>
          <w:color w:val="auto"/>
          <w:spacing w:val="-6"/>
          <w:sz w:val="20"/>
          <w:szCs w:val="20"/>
          <w:highlight w:val="none"/>
        </w:rPr>
        <w:t>免费维护及升级。</w:t>
      </w:r>
    </w:p>
    <w:p w14:paraId="64EF7E48">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rPr>
        <w:drawing>
          <wp:anchor distT="0" distB="0" distL="114300" distR="114300" simplePos="0" relativeHeight="251663360" behindDoc="0" locked="0" layoutInCell="1" allowOverlap="1">
            <wp:simplePos x="0" y="0"/>
            <wp:positionH relativeFrom="column">
              <wp:posOffset>12131675</wp:posOffset>
            </wp:positionH>
            <wp:positionV relativeFrom="paragraph">
              <wp:posOffset>923290</wp:posOffset>
            </wp:positionV>
            <wp:extent cx="300355" cy="1206500"/>
            <wp:effectExtent l="0" t="0" r="4445" b="12700"/>
            <wp:wrapNone/>
            <wp:docPr id="7" name="IM 12"/>
            <wp:cNvGraphicFramePr/>
            <a:graphic xmlns:a="http://schemas.openxmlformats.org/drawingml/2006/main">
              <a:graphicData uri="http://schemas.openxmlformats.org/drawingml/2006/picture">
                <pic:pic xmlns:pic="http://schemas.openxmlformats.org/drawingml/2006/picture">
                  <pic:nvPicPr>
                    <pic:cNvPr id="7" name="IM 12"/>
                    <pic:cNvPicPr/>
                  </pic:nvPicPr>
                  <pic:blipFill>
                    <a:blip r:embed="rId10"/>
                    <a:stretch>
                      <a:fillRect/>
                    </a:stretch>
                  </pic:blipFill>
                  <pic:spPr>
                    <a:xfrm>
                      <a:off x="0" y="0"/>
                      <a:ext cx="300355" cy="1206500"/>
                    </a:xfrm>
                    <a:prstGeom prst="rect">
                      <a:avLst/>
                    </a:prstGeom>
                    <a:noFill/>
                    <a:ln>
                      <a:noFill/>
                    </a:ln>
                  </pic:spPr>
                </pic:pic>
              </a:graphicData>
            </a:graphic>
          </wp:anchor>
        </w:drawing>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pacing w:val="33"/>
          <w:sz w:val="20"/>
          <w:szCs w:val="20"/>
          <w:highlight w:val="none"/>
        </w:rPr>
        <w:t>乙方根据甲方实际工作的需求，协助甲方完成与其他医疗机</w:t>
      </w:r>
      <w:r>
        <w:rPr>
          <w:rFonts w:hint="eastAsia" w:ascii="宋体" w:hAnsi="宋体" w:eastAsia="宋体" w:cs="宋体"/>
          <w:color w:val="auto"/>
          <w:spacing w:val="24"/>
          <w:sz w:val="20"/>
          <w:szCs w:val="20"/>
          <w:highlight w:val="none"/>
        </w:rPr>
        <w:t>构的心脏监护网络搭建及合作项目</w:t>
      </w:r>
      <w:r>
        <w:rPr>
          <w:rFonts w:hint="eastAsia" w:ascii="宋体" w:hAnsi="宋体" w:eastAsia="宋体" w:cs="宋体"/>
          <w:color w:val="auto"/>
          <w:spacing w:val="26"/>
          <w:sz w:val="20"/>
          <w:szCs w:val="20"/>
          <w:highlight w:val="none"/>
        </w:rPr>
        <w:t>。</w:t>
      </w:r>
    </w:p>
    <w:p w14:paraId="3A79C7DD">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52" w:firstLineChars="200"/>
        <w:jc w:val="both"/>
        <w:textAlignment w:val="auto"/>
        <w:outlineLvl w:val="9"/>
        <w:rPr>
          <w:rFonts w:hint="eastAsia" w:ascii="宋体" w:hAnsi="宋体" w:eastAsia="宋体" w:cs="宋体"/>
          <w:color w:val="auto"/>
          <w:spacing w:val="13"/>
          <w:sz w:val="20"/>
          <w:szCs w:val="20"/>
          <w:highlight w:val="none"/>
          <w:lang w:val="en-US" w:eastAsia="zh-CN"/>
        </w:rPr>
      </w:pPr>
      <w:r>
        <w:rPr>
          <w:rFonts w:hint="eastAsia" w:ascii="宋体" w:hAnsi="宋体" w:eastAsia="宋体" w:cs="宋体"/>
          <w:color w:val="auto"/>
          <w:spacing w:val="13"/>
          <w:sz w:val="20"/>
          <w:szCs w:val="20"/>
          <w:highlight w:val="none"/>
          <w:lang w:val="en-US" w:eastAsia="zh-CN"/>
        </w:rPr>
        <w:t>6.乙方提供远程心电监测设备及技术软件供双方使用(乙方拥有该等设备和软件的所有权),乙方应确保设备和软件为乙方合法所有，不存在任何权利瑕疵，若因设备和软件的产权存在瑕疵引发纠纷，一律由乙方承担责任。服务期内，乙方负责设备系统的安全稳定运行和免费升级，设备的日常维护保养。</w:t>
      </w:r>
    </w:p>
    <w:p w14:paraId="17D5D35C">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52" w:firstLineChars="200"/>
        <w:jc w:val="both"/>
        <w:textAlignment w:val="auto"/>
        <w:outlineLvl w:val="9"/>
        <w:rPr>
          <w:rFonts w:hint="default" w:ascii="宋体" w:hAnsi="宋体" w:eastAsia="宋体" w:cs="宋体"/>
          <w:color w:val="auto"/>
          <w:spacing w:val="16"/>
          <w:sz w:val="20"/>
          <w:szCs w:val="20"/>
          <w:highlight w:val="none"/>
          <w:lang w:val="en-US" w:eastAsia="zh-CN"/>
        </w:rPr>
      </w:pPr>
      <w:r>
        <w:rPr>
          <w:rFonts w:hint="eastAsia" w:ascii="宋体" w:hAnsi="宋体" w:eastAsia="宋体" w:cs="宋体"/>
          <w:color w:val="auto"/>
          <w:spacing w:val="13"/>
          <w:sz w:val="20"/>
          <w:szCs w:val="20"/>
          <w:highlight w:val="none"/>
          <w:lang w:val="en-US" w:eastAsia="zh-CN"/>
        </w:rPr>
        <w:t>7.乙方应为甲方提供动态远程心电数据筛查、预分析服务，乙方为甲方提供的动态远程心电数据筛查、预分析服务不直接面向甲方患者。</w:t>
      </w:r>
      <w:r>
        <w:rPr>
          <w:rFonts w:hint="eastAsia" w:ascii="宋体" w:hAnsi="宋体" w:eastAsia="宋体" w:cs="宋体"/>
          <w:color w:val="auto"/>
          <w:spacing w:val="16"/>
          <w:sz w:val="20"/>
          <w:szCs w:val="20"/>
          <w:highlight w:val="none"/>
        </w:rPr>
        <w:t>乙方在</w:t>
      </w:r>
      <w:r>
        <w:rPr>
          <w:rFonts w:hint="eastAsia" w:ascii="宋体" w:hAnsi="宋体" w:eastAsia="宋体" w:cs="宋体"/>
          <w:color w:val="auto"/>
          <w:spacing w:val="16"/>
          <w:sz w:val="20"/>
          <w:szCs w:val="20"/>
          <w:highlight w:val="none"/>
          <w:lang w:val="en-US" w:eastAsia="zh-CN"/>
        </w:rPr>
        <w:t>收到</w:t>
      </w:r>
      <w:r>
        <w:rPr>
          <w:rFonts w:hint="eastAsia" w:ascii="宋体" w:hAnsi="宋体" w:eastAsia="宋体" w:cs="宋体"/>
          <w:color w:val="auto"/>
          <w:spacing w:val="16"/>
          <w:sz w:val="20"/>
          <w:szCs w:val="20"/>
          <w:highlight w:val="none"/>
        </w:rPr>
        <w:t>甲方患者</w:t>
      </w:r>
      <w:r>
        <w:rPr>
          <w:rFonts w:hint="eastAsia" w:ascii="宋体" w:hAnsi="宋体" w:eastAsia="宋体" w:cs="宋体"/>
          <w:color w:val="auto"/>
          <w:spacing w:val="16"/>
          <w:sz w:val="20"/>
          <w:szCs w:val="20"/>
          <w:highlight w:val="none"/>
          <w:lang w:val="en-US" w:eastAsia="zh-CN"/>
        </w:rPr>
        <w:t>完整的</w:t>
      </w:r>
      <w:r>
        <w:rPr>
          <w:rFonts w:hint="eastAsia" w:ascii="宋体" w:hAnsi="宋体" w:eastAsia="宋体" w:cs="宋体"/>
          <w:color w:val="auto"/>
          <w:spacing w:val="16"/>
          <w:sz w:val="20"/>
          <w:szCs w:val="20"/>
          <w:highlight w:val="none"/>
        </w:rPr>
        <w:t>心电</w:t>
      </w:r>
      <w:r>
        <w:rPr>
          <w:rFonts w:hint="eastAsia" w:ascii="宋体" w:hAnsi="宋体" w:eastAsia="宋体" w:cs="宋体"/>
          <w:color w:val="auto"/>
          <w:spacing w:val="16"/>
          <w:sz w:val="20"/>
          <w:szCs w:val="20"/>
          <w:highlight w:val="none"/>
          <w:lang w:val="en-US" w:eastAsia="zh-CN"/>
        </w:rPr>
        <w:t>数据信息</w:t>
      </w:r>
      <w:r>
        <w:rPr>
          <w:rFonts w:hint="eastAsia" w:ascii="宋体" w:hAnsi="宋体" w:eastAsia="宋体" w:cs="宋体"/>
          <w:color w:val="auto"/>
          <w:spacing w:val="16"/>
          <w:sz w:val="20"/>
          <w:szCs w:val="20"/>
          <w:highlight w:val="none"/>
        </w:rPr>
        <w:t>后，须在二十四小时内完成远程心电数据筛查、分析工作并向甲方出具对应分析报告，且保证出具报告诊断准确率不低于95%。</w:t>
      </w:r>
    </w:p>
    <w:p w14:paraId="768E54B5">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52" w:firstLineChars="200"/>
        <w:jc w:val="both"/>
        <w:textAlignment w:val="auto"/>
        <w:outlineLvl w:val="9"/>
        <w:rPr>
          <w:rFonts w:hint="eastAsia" w:ascii="宋体" w:hAnsi="宋体" w:eastAsia="宋体" w:cs="宋体"/>
          <w:color w:val="auto"/>
          <w:spacing w:val="13"/>
          <w:sz w:val="20"/>
          <w:szCs w:val="20"/>
          <w:highlight w:val="none"/>
          <w:lang w:val="en-US" w:eastAsia="zh-CN"/>
        </w:rPr>
      </w:pPr>
      <w:r>
        <w:rPr>
          <w:rFonts w:hint="eastAsia" w:ascii="宋体" w:hAnsi="宋体" w:eastAsia="宋体" w:cs="宋体"/>
          <w:color w:val="auto"/>
          <w:spacing w:val="13"/>
          <w:sz w:val="20"/>
          <w:szCs w:val="20"/>
          <w:highlight w:val="none"/>
          <w:lang w:val="en-US" w:eastAsia="zh-CN"/>
        </w:rPr>
        <w:t>9.乙方指定的项目负责人(   )，联系方式(       ) 与甲方负责人(      )，联系方式(        )进行联系，共同负责合作内容的落实、科室建设和市场推广。双方负责对接的人员联系电话应保持上述联络通讯方式持续畅通。如果其中一方指定的人员发生变化，应至少提前三个工作日正式通知另一方，否则因一方联系方式或对接人变更导致服务不畅或故障产生的损失及责任由变更一方承担。</w:t>
      </w:r>
    </w:p>
    <w:p w14:paraId="1500DA70">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526" w:firstLineChars="200"/>
        <w:jc w:val="both"/>
        <w:textAlignment w:val="auto"/>
        <w:outlineLvl w:val="9"/>
        <w:rPr>
          <w:rFonts w:hint="eastAsia" w:ascii="宋体" w:hAnsi="宋体" w:eastAsia="宋体" w:cs="宋体"/>
          <w:b/>
          <w:bCs/>
          <w:color w:val="auto"/>
          <w:sz w:val="20"/>
          <w:szCs w:val="20"/>
          <w:highlight w:val="none"/>
        </w:rPr>
      </w:pPr>
      <w:r>
        <w:rPr>
          <w:rFonts w:hint="eastAsia" w:ascii="宋体" w:hAnsi="宋体" w:eastAsia="宋体" w:cs="宋体"/>
          <w:b/>
          <w:bCs/>
          <w:color w:val="auto"/>
          <w:spacing w:val="31"/>
          <w:sz w:val="20"/>
          <w:szCs w:val="20"/>
          <w:highlight w:val="none"/>
        </w:rPr>
        <w:t>(三)双方的权利义务</w:t>
      </w:r>
    </w:p>
    <w:p w14:paraId="25E0F950">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1.乙方拥有智能心电信息化系统软件的所有权，未经乙方授权，甲方及甲方指定的第三方不得以转让、拷贝、租借给第三方等方式损害乙方的正当权益。</w:t>
      </w:r>
    </w:p>
    <w:p w14:paraId="37A4791A">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2.甲乙双方应本着诚信的态度，不将对方的任何业务数据以有意或无意的方式透露给第三方。</w:t>
      </w:r>
    </w:p>
    <w:p w14:paraId="0372C466">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3.甲乙双方不能将对方的任何业务数据和技术秘密用于促进双方合作以外的任何目的，除非已获得对方先前的书面许可。</w:t>
      </w:r>
    </w:p>
    <w:p w14:paraId="48A7800C">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医疗业务应按照诊疗规范及医疗服务指南合规开展，双方均应努力避免医疗差错、事故、纠纷的发生。如在执业过程中出现因漏诊、误诊导致的医疗纠纷，应经医学会或司法鉴定等机构对医疗纠纷进行鉴定，各方将根据鉴定的结论，按照各自的过错比例承担相应的责任。对于甲方未经医学会或者司法鉴定机构对医疗纠纷进行鉴定而与患方进行和解的，双方协商解决。</w:t>
      </w:r>
    </w:p>
    <w:p w14:paraId="609C24BA">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558" w:firstLineChars="200"/>
        <w:jc w:val="both"/>
        <w:textAlignment w:val="auto"/>
        <w:outlineLvl w:val="9"/>
        <w:rPr>
          <w:rFonts w:hint="eastAsia" w:ascii="宋体" w:hAnsi="宋体" w:eastAsia="宋体" w:cs="宋体"/>
          <w:b/>
          <w:bCs/>
          <w:color w:val="auto"/>
          <w:spacing w:val="39"/>
          <w:sz w:val="20"/>
          <w:szCs w:val="20"/>
          <w:highlight w:val="none"/>
        </w:rPr>
      </w:pPr>
    </w:p>
    <w:p w14:paraId="78886C68">
      <w:pPr>
        <w:keepNext w:val="0"/>
        <w:keepLines w:val="0"/>
        <w:pageBreakBefore w:val="0"/>
        <w:widowControl w:val="0"/>
        <w:numPr>
          <w:ilvl w:val="0"/>
          <w:numId w:val="5"/>
        </w:numPr>
        <w:kinsoku w:val="0"/>
        <w:wordWrap/>
        <w:overflowPunct/>
        <w:topLinePunct w:val="0"/>
        <w:autoSpaceDE w:val="0"/>
        <w:autoSpaceDN w:val="0"/>
        <w:bidi w:val="0"/>
        <w:adjustRightInd w:val="0"/>
        <w:snapToGrid w:val="0"/>
        <w:spacing w:line="240" w:lineRule="auto"/>
        <w:ind w:right="0" w:rightChars="0" w:firstLine="558" w:firstLineChars="200"/>
        <w:jc w:val="both"/>
        <w:textAlignment w:val="auto"/>
        <w:outlineLvl w:val="9"/>
        <w:rPr>
          <w:rFonts w:hint="eastAsia" w:ascii="宋体" w:hAnsi="宋体" w:eastAsia="宋体" w:cs="宋体"/>
          <w:b/>
          <w:bCs/>
          <w:color w:val="auto"/>
          <w:spacing w:val="39"/>
          <w:sz w:val="20"/>
          <w:szCs w:val="20"/>
          <w:highlight w:val="none"/>
          <w:lang w:val="en-US" w:eastAsia="zh-CN"/>
        </w:rPr>
      </w:pPr>
      <w:r>
        <w:rPr>
          <w:rFonts w:hint="eastAsia" w:ascii="宋体" w:hAnsi="宋体" w:eastAsia="宋体" w:cs="宋体"/>
          <w:b/>
          <w:bCs/>
          <w:color w:val="auto"/>
          <w:spacing w:val="39"/>
          <w:sz w:val="20"/>
          <w:szCs w:val="20"/>
          <w:highlight w:val="none"/>
          <w:lang w:val="en-US" w:eastAsia="zh-CN"/>
        </w:rPr>
        <w:t>结算条款</w:t>
      </w:r>
    </w:p>
    <w:p w14:paraId="2AD96B05">
      <w:pPr>
        <w:pStyle w:val="10"/>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.1</w:t>
      </w:r>
      <w:r>
        <w:rPr>
          <w:rFonts w:hint="eastAsia" w:ascii="宋体" w:hAnsi="宋体" w:eastAsia="宋体" w:cs="宋体"/>
          <w:color w:val="auto"/>
          <w:sz w:val="20"/>
          <w:szCs w:val="20"/>
          <w:highlight w:val="none"/>
        </w:rPr>
        <w:t>各</w:t>
      </w:r>
      <w:r>
        <w:rPr>
          <w:rFonts w:hint="eastAsia" w:ascii="宋体" w:hAnsi="宋体" w:eastAsia="宋体" w:cs="宋体"/>
          <w:color w:val="auto"/>
          <w:kern w:val="0"/>
          <w:sz w:val="20"/>
          <w:szCs w:val="20"/>
          <w:highlight w:val="none"/>
        </w:rPr>
        <w:t>方确认，自【</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rPr>
        <w:t>】年【</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rPr>
        <w:t>】月【</w:t>
      </w: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rPr>
        <w:t>】日起，甲方按照以下资费标准向乙方支付技术支持服务费：</w:t>
      </w:r>
    </w:p>
    <w:tbl>
      <w:tblPr>
        <w:tblStyle w:val="19"/>
        <w:tblW w:w="7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20"/>
        <w:gridCol w:w="3958"/>
        <w:gridCol w:w="1817"/>
      </w:tblGrid>
      <w:tr w14:paraId="4C9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jc w:val="center"/>
        </w:trPr>
        <w:tc>
          <w:tcPr>
            <w:tcW w:w="7795" w:type="dxa"/>
            <w:gridSpan w:val="3"/>
            <w:noWrap w:val="0"/>
            <w:vAlign w:val="center"/>
          </w:tcPr>
          <w:p w14:paraId="2D5AEE43">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b/>
                <w:color w:val="auto"/>
                <w:kern w:val="0"/>
                <w:sz w:val="20"/>
                <w:szCs w:val="20"/>
                <w:highlight w:val="none"/>
                <w:lang w:bidi="ar"/>
              </w:rPr>
            </w:pPr>
            <w:r>
              <w:rPr>
                <w:rFonts w:hint="eastAsia" w:ascii="宋体" w:hAnsi="宋体" w:eastAsia="宋体" w:cs="宋体"/>
                <w:b/>
                <w:color w:val="auto"/>
                <w:kern w:val="0"/>
                <w:sz w:val="20"/>
                <w:szCs w:val="20"/>
                <w:highlight w:val="none"/>
                <w:lang w:bidi="ar"/>
              </w:rPr>
              <w:t>合作模式</w:t>
            </w:r>
          </w:p>
        </w:tc>
      </w:tr>
      <w:tr w14:paraId="6483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2020" w:type="dxa"/>
            <w:noWrap w:val="0"/>
            <w:vAlign w:val="center"/>
          </w:tcPr>
          <w:p w14:paraId="3D777E5C">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产品</w:t>
            </w:r>
          </w:p>
        </w:tc>
        <w:tc>
          <w:tcPr>
            <w:tcW w:w="3958" w:type="dxa"/>
            <w:noWrap w:val="0"/>
            <w:vAlign w:val="center"/>
          </w:tcPr>
          <w:p w14:paraId="17B2575D">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合作模式</w:t>
            </w:r>
          </w:p>
        </w:tc>
        <w:tc>
          <w:tcPr>
            <w:tcW w:w="1817" w:type="dxa"/>
            <w:noWrap w:val="0"/>
            <w:vAlign w:val="center"/>
          </w:tcPr>
          <w:p w14:paraId="2DF11364">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结算单价        （元/例)</w:t>
            </w:r>
          </w:p>
        </w:tc>
      </w:tr>
      <w:tr w14:paraId="6B25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6" w:hRule="atLeast"/>
          <w:jc w:val="center"/>
        </w:trPr>
        <w:tc>
          <w:tcPr>
            <w:tcW w:w="2020" w:type="dxa"/>
            <w:noWrap w:val="0"/>
            <w:vAlign w:val="center"/>
          </w:tcPr>
          <w:p w14:paraId="383B37B4">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动态心电服务</w:t>
            </w:r>
          </w:p>
        </w:tc>
        <w:tc>
          <w:tcPr>
            <w:tcW w:w="3958" w:type="dxa"/>
            <w:noWrap w:val="0"/>
            <w:vAlign w:val="center"/>
          </w:tcPr>
          <w:p w14:paraId="3FA4886B">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平台建设与维护技术服务费</w:t>
            </w:r>
            <w:r>
              <w:rPr>
                <w:rFonts w:hint="eastAsia" w:ascii="宋体" w:hAnsi="宋体" w:eastAsia="宋体" w:cs="宋体"/>
                <w:color w:val="auto"/>
                <w:kern w:val="0"/>
                <w:sz w:val="20"/>
                <w:szCs w:val="20"/>
                <w:highlight w:val="none"/>
                <w:lang w:val="en-US" w:eastAsia="zh-CN" w:bidi="ar"/>
              </w:rPr>
              <w:t xml:space="preserve">                </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含</w:t>
            </w:r>
            <w:r>
              <w:rPr>
                <w:rFonts w:hint="eastAsia" w:ascii="宋体" w:hAnsi="宋体" w:eastAsia="宋体" w:cs="宋体"/>
                <w:color w:val="auto"/>
                <w:kern w:val="0"/>
                <w:sz w:val="20"/>
                <w:szCs w:val="20"/>
                <w:highlight w:val="none"/>
                <w:lang w:bidi="ar"/>
              </w:rPr>
              <w:t>预报告</w:t>
            </w:r>
            <w:r>
              <w:rPr>
                <w:rFonts w:hint="eastAsia" w:ascii="宋体" w:hAnsi="宋体" w:eastAsia="宋体" w:cs="宋体"/>
                <w:color w:val="auto"/>
                <w:kern w:val="0"/>
                <w:sz w:val="20"/>
                <w:szCs w:val="20"/>
                <w:highlight w:val="none"/>
                <w:lang w:val="en-US" w:eastAsia="zh-CN" w:bidi="ar"/>
              </w:rPr>
              <w:t>分析</w:t>
            </w:r>
            <w:r>
              <w:rPr>
                <w:rFonts w:hint="eastAsia" w:ascii="宋体" w:hAnsi="宋体" w:eastAsia="宋体" w:cs="宋体"/>
                <w:color w:val="auto"/>
                <w:kern w:val="0"/>
                <w:sz w:val="20"/>
                <w:szCs w:val="20"/>
                <w:highlight w:val="none"/>
                <w:lang w:bidi="ar"/>
              </w:rPr>
              <w:t>服务</w:t>
            </w:r>
            <w:r>
              <w:rPr>
                <w:rFonts w:hint="eastAsia" w:ascii="宋体" w:hAnsi="宋体" w:eastAsia="宋体" w:cs="宋体"/>
                <w:color w:val="auto"/>
                <w:kern w:val="0"/>
                <w:sz w:val="20"/>
                <w:szCs w:val="20"/>
                <w:highlight w:val="none"/>
                <w:lang w:eastAsia="zh-CN" w:bidi="ar"/>
              </w:rPr>
              <w:t>）</w:t>
            </w:r>
          </w:p>
        </w:tc>
        <w:tc>
          <w:tcPr>
            <w:tcW w:w="1817" w:type="dxa"/>
            <w:noWrap w:val="0"/>
            <w:vAlign w:val="center"/>
          </w:tcPr>
          <w:p w14:paraId="6BC12A8F">
            <w:pPr>
              <w:keepNext w:val="0"/>
              <w:keepLines w:val="0"/>
              <w:pageBreakBefore w:val="0"/>
              <w:widowControl/>
              <w:wordWrap/>
              <w:overflowPunct/>
              <w:topLinePunct w:val="0"/>
              <w:bidi w:val="0"/>
              <w:spacing w:line="240" w:lineRule="auto"/>
              <w:jc w:val="center"/>
              <w:textAlignment w:val="center"/>
              <w:rPr>
                <w:rFonts w:hint="eastAsia" w:ascii="宋体" w:hAnsi="宋体" w:eastAsia="宋体" w:cs="宋体"/>
                <w:color w:val="auto"/>
                <w:kern w:val="0"/>
                <w:sz w:val="20"/>
                <w:szCs w:val="20"/>
                <w:highlight w:val="none"/>
                <w:lang w:val="en-US" w:eastAsia="zh-CN" w:bidi="ar"/>
              </w:rPr>
            </w:pPr>
          </w:p>
        </w:tc>
      </w:tr>
    </w:tbl>
    <w:p w14:paraId="2A6E12B4">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4.2 </w:t>
      </w:r>
      <w:r>
        <w:rPr>
          <w:rFonts w:hint="eastAsia" w:ascii="宋体" w:hAnsi="宋体" w:eastAsia="宋体" w:cs="宋体"/>
          <w:color w:val="auto"/>
          <w:kern w:val="0"/>
          <w:sz w:val="20"/>
          <w:szCs w:val="20"/>
          <w:highlight w:val="none"/>
        </w:rPr>
        <w:t>本协议生效后，双方每【1】个自然月结算一次</w:t>
      </w:r>
      <w:r>
        <w:rPr>
          <w:rFonts w:hint="eastAsia" w:ascii="宋体" w:hAnsi="宋体" w:eastAsia="宋体" w:cs="宋体"/>
          <w:color w:val="auto"/>
          <w:sz w:val="20"/>
          <w:szCs w:val="20"/>
          <w:highlight w:val="none"/>
        </w:rPr>
        <w:t>服务费。</w:t>
      </w:r>
    </w:p>
    <w:p w14:paraId="00698E14">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sz w:val="20"/>
          <w:szCs w:val="20"/>
          <w:highlight w:val="yellow"/>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 xml:space="preserve"> </w:t>
      </w:r>
      <w:r>
        <w:rPr>
          <w:rFonts w:hint="eastAsia" w:ascii="宋体" w:hAnsi="宋体" w:eastAsia="宋体" w:cs="宋体"/>
          <w:color w:val="auto"/>
          <w:kern w:val="0"/>
          <w:sz w:val="20"/>
          <w:szCs w:val="20"/>
          <w:highlight w:val="none"/>
          <w:lang w:val="en-US" w:eastAsia="zh-CN"/>
        </w:rPr>
        <w:t>乙</w:t>
      </w:r>
      <w:r>
        <w:rPr>
          <w:rFonts w:hint="eastAsia" w:ascii="宋体" w:hAnsi="宋体" w:eastAsia="宋体" w:cs="宋体"/>
          <w:color w:val="auto"/>
          <w:kern w:val="0"/>
          <w:sz w:val="20"/>
          <w:szCs w:val="20"/>
          <w:highlight w:val="none"/>
        </w:rPr>
        <w:t>方</w:t>
      </w:r>
      <w:r>
        <w:rPr>
          <w:rFonts w:hint="eastAsia" w:ascii="宋体" w:hAnsi="宋体" w:eastAsia="宋体" w:cs="宋体"/>
          <w:color w:val="auto"/>
          <w:sz w:val="20"/>
          <w:szCs w:val="20"/>
          <w:highlight w:val="none"/>
        </w:rPr>
        <w:t>对</w:t>
      </w:r>
      <w:r>
        <w:rPr>
          <w:rFonts w:hint="eastAsia" w:ascii="宋体" w:hAnsi="宋体" w:eastAsia="宋体" w:cs="宋体"/>
          <w:color w:val="auto"/>
          <w:sz w:val="20"/>
          <w:szCs w:val="20"/>
          <w:highlight w:val="none"/>
          <w:lang w:val="en-US" w:eastAsia="zh-CN"/>
        </w:rPr>
        <w:t>服务项目完成</w:t>
      </w:r>
      <w:r>
        <w:rPr>
          <w:rFonts w:hint="eastAsia" w:ascii="宋体" w:hAnsi="宋体" w:eastAsia="宋体" w:cs="宋体"/>
          <w:color w:val="auto"/>
          <w:sz w:val="20"/>
          <w:szCs w:val="20"/>
          <w:highlight w:val="none"/>
        </w:rPr>
        <w:t>后，以</w:t>
      </w:r>
      <w:r>
        <w:rPr>
          <w:rFonts w:hint="eastAsia" w:ascii="宋体" w:hAnsi="宋体" w:eastAsia="宋体" w:cs="宋体"/>
          <w:color w:val="auto"/>
          <w:sz w:val="20"/>
          <w:szCs w:val="20"/>
          <w:highlight w:val="none"/>
          <w:lang w:val="en-US" w:eastAsia="zh-CN"/>
        </w:rPr>
        <w:t>实际服务</w:t>
      </w:r>
      <w:r>
        <w:rPr>
          <w:rFonts w:hint="eastAsia" w:ascii="宋体" w:hAnsi="宋体" w:eastAsia="宋体" w:cs="宋体"/>
          <w:color w:val="auto"/>
          <w:sz w:val="20"/>
          <w:szCs w:val="20"/>
          <w:highlight w:val="none"/>
        </w:rPr>
        <w:t>报告为对账依据，于每月5号前出具上月对账单，在10个工作日内经采购人相关科室核实后再到财务科结算，凭中标人开具的正式全额发票于1个月内以银行转账方式支付</w:t>
      </w:r>
      <w:r>
        <w:rPr>
          <w:rFonts w:hint="eastAsia" w:ascii="宋体" w:hAnsi="宋体" w:eastAsia="宋体" w:cs="宋体"/>
          <w:color w:val="auto"/>
          <w:sz w:val="20"/>
          <w:szCs w:val="20"/>
          <w:highlight w:val="none"/>
          <w:lang w:val="en-US" w:eastAsia="zh-CN"/>
        </w:rPr>
        <w:t>服务</w:t>
      </w:r>
      <w:r>
        <w:rPr>
          <w:rFonts w:hint="eastAsia" w:ascii="宋体" w:hAnsi="宋体" w:eastAsia="宋体" w:cs="宋体"/>
          <w:color w:val="auto"/>
          <w:sz w:val="20"/>
          <w:szCs w:val="20"/>
          <w:highlight w:val="none"/>
        </w:rPr>
        <w:t>费用。</w:t>
      </w:r>
    </w:p>
    <w:p w14:paraId="15E3F5F9">
      <w:pPr>
        <w:pStyle w:val="10"/>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甲</w:t>
      </w:r>
      <w:r>
        <w:rPr>
          <w:rFonts w:hint="eastAsia" w:ascii="宋体" w:hAnsi="宋体" w:eastAsia="宋体" w:cs="宋体"/>
          <w:color w:val="auto"/>
          <w:kern w:val="0"/>
          <w:sz w:val="20"/>
          <w:szCs w:val="20"/>
          <w:highlight w:val="none"/>
        </w:rPr>
        <w:t>方开票信息如下：</w:t>
      </w:r>
    </w:p>
    <w:p w14:paraId="13A72016">
      <w:pPr>
        <w:pStyle w:val="10"/>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单  位： </w:t>
      </w:r>
    </w:p>
    <w:p w14:paraId="0BB735C1">
      <w:pPr>
        <w:pStyle w:val="10"/>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纳税人识别号：</w:t>
      </w:r>
    </w:p>
    <w:p w14:paraId="240B04A1">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lang w:val="en-US" w:eastAsia="zh-CN"/>
        </w:rPr>
        <w:t>甲</w:t>
      </w:r>
      <w:r>
        <w:rPr>
          <w:rFonts w:hint="eastAsia" w:ascii="宋体" w:hAnsi="宋体" w:eastAsia="宋体" w:cs="宋体"/>
          <w:color w:val="auto"/>
          <w:sz w:val="20"/>
          <w:szCs w:val="20"/>
          <w:highlight w:val="none"/>
        </w:rPr>
        <w:t>方须将所有款项汇至</w:t>
      </w:r>
      <w:r>
        <w:rPr>
          <w:rFonts w:hint="eastAsia" w:ascii="宋体" w:hAnsi="宋体" w:eastAsia="宋体" w:cs="宋体"/>
          <w:color w:val="auto"/>
          <w:sz w:val="20"/>
          <w:szCs w:val="20"/>
          <w:highlight w:val="none"/>
          <w:lang w:val="en-US" w:eastAsia="zh-CN"/>
        </w:rPr>
        <w:t>乙</w:t>
      </w:r>
      <w:r>
        <w:rPr>
          <w:rFonts w:hint="eastAsia" w:ascii="宋体" w:hAnsi="宋体" w:eastAsia="宋体" w:cs="宋体"/>
          <w:color w:val="auto"/>
          <w:sz w:val="20"/>
          <w:szCs w:val="20"/>
          <w:highlight w:val="none"/>
        </w:rPr>
        <w:t>方指定银行账户，否则</w:t>
      </w:r>
      <w:r>
        <w:rPr>
          <w:rFonts w:hint="eastAsia" w:ascii="宋体" w:hAnsi="宋体" w:eastAsia="宋体" w:cs="宋体"/>
          <w:color w:val="auto"/>
          <w:sz w:val="20"/>
          <w:szCs w:val="20"/>
          <w:highlight w:val="none"/>
          <w:lang w:val="en-US" w:eastAsia="zh-CN"/>
        </w:rPr>
        <w:t>乙</w:t>
      </w:r>
      <w:r>
        <w:rPr>
          <w:rFonts w:hint="eastAsia" w:ascii="宋体" w:hAnsi="宋体" w:eastAsia="宋体" w:cs="宋体"/>
          <w:color w:val="auto"/>
          <w:sz w:val="20"/>
          <w:szCs w:val="20"/>
          <w:highlight w:val="none"/>
        </w:rPr>
        <w:t>方不承担由此产生的任何损失。</w:t>
      </w:r>
    </w:p>
    <w:p w14:paraId="237C4861">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乙</w:t>
      </w:r>
      <w:r>
        <w:rPr>
          <w:rFonts w:hint="eastAsia" w:ascii="宋体" w:hAnsi="宋体" w:eastAsia="宋体" w:cs="宋体"/>
          <w:color w:val="auto"/>
          <w:sz w:val="20"/>
          <w:szCs w:val="20"/>
          <w:highlight w:val="none"/>
        </w:rPr>
        <w:t>方指定银行账户信息如下</w:t>
      </w:r>
      <w:r>
        <w:rPr>
          <w:rFonts w:hint="eastAsia" w:ascii="宋体" w:hAnsi="宋体" w:eastAsia="宋体" w:cs="宋体"/>
          <w:color w:val="auto"/>
          <w:sz w:val="20"/>
          <w:szCs w:val="20"/>
          <w:highlight w:val="none"/>
          <w:lang w:eastAsia="zh-CN"/>
        </w:rPr>
        <w:t>：</w:t>
      </w:r>
    </w:p>
    <w:p w14:paraId="12395CFF">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bookmarkStart w:id="0" w:name="OLE_LINK8"/>
      <w:bookmarkStart w:id="1" w:name="_Hlk13759878"/>
      <w:r>
        <w:rPr>
          <w:rFonts w:hint="eastAsia" w:ascii="宋体" w:hAnsi="宋体" w:eastAsia="宋体" w:cs="宋体"/>
          <w:color w:val="auto"/>
          <w:sz w:val="20"/>
          <w:szCs w:val="20"/>
          <w:highlight w:val="none"/>
        </w:rPr>
        <w:t xml:space="preserve">户  名：       </w:t>
      </w:r>
    </w:p>
    <w:p w14:paraId="7B303F4D">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开户行：</w:t>
      </w:r>
    </w:p>
    <w:p w14:paraId="4829EA7B">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宋体" w:hAnsi="宋体" w:eastAsia="宋体" w:cs="宋体"/>
          <w:b/>
          <w:bCs/>
          <w:color w:val="auto"/>
          <w:kern w:val="0"/>
          <w:sz w:val="20"/>
          <w:szCs w:val="20"/>
          <w:highlight w:val="none"/>
        </w:rPr>
      </w:pPr>
      <w:r>
        <w:rPr>
          <w:rFonts w:hint="eastAsia" w:ascii="宋体" w:hAnsi="宋体" w:eastAsia="宋体" w:cs="宋体"/>
          <w:color w:val="auto"/>
          <w:sz w:val="20"/>
          <w:szCs w:val="20"/>
          <w:highlight w:val="none"/>
        </w:rPr>
        <w:t>账  号：</w:t>
      </w:r>
      <w:bookmarkEnd w:id="0"/>
    </w:p>
    <w:bookmarkEnd w:id="1"/>
    <w:p w14:paraId="1AD1FBE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558" w:firstLineChars="200"/>
        <w:jc w:val="both"/>
        <w:textAlignment w:val="auto"/>
        <w:outlineLvl w:val="9"/>
        <w:rPr>
          <w:rFonts w:hint="eastAsia" w:ascii="宋体" w:hAnsi="宋体" w:eastAsia="宋体" w:cs="宋体"/>
          <w:b/>
          <w:bCs/>
          <w:color w:val="auto"/>
          <w:spacing w:val="39"/>
          <w:sz w:val="20"/>
          <w:szCs w:val="20"/>
          <w:highlight w:val="none"/>
          <w:lang w:val="en-US" w:eastAsia="zh-CN"/>
        </w:rPr>
      </w:pPr>
    </w:p>
    <w:p w14:paraId="4B7529A1">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558"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b/>
          <w:bCs/>
          <w:color w:val="auto"/>
          <w:spacing w:val="39"/>
          <w:sz w:val="20"/>
          <w:szCs w:val="20"/>
          <w:highlight w:val="none"/>
        </w:rPr>
        <w:t>第五条</w:t>
      </w:r>
      <w:r>
        <w:rPr>
          <w:rFonts w:hint="eastAsia" w:ascii="宋体" w:hAnsi="宋体" w:eastAsia="宋体" w:cs="宋体"/>
          <w:b/>
          <w:bCs/>
          <w:color w:val="auto"/>
          <w:spacing w:val="39"/>
          <w:sz w:val="20"/>
          <w:szCs w:val="20"/>
          <w:highlight w:val="none"/>
          <w:lang w:val="en-US" w:eastAsia="zh-CN"/>
        </w:rPr>
        <w:t xml:space="preserve">  </w:t>
      </w:r>
      <w:r>
        <w:rPr>
          <w:rFonts w:hint="eastAsia" w:ascii="宋体" w:hAnsi="宋体" w:eastAsia="宋体" w:cs="宋体"/>
          <w:b/>
          <w:bCs/>
          <w:color w:val="auto"/>
          <w:spacing w:val="39"/>
          <w:sz w:val="20"/>
          <w:szCs w:val="20"/>
          <w:highlight w:val="none"/>
        </w:rPr>
        <w:t>保密责任</w:t>
      </w:r>
    </w:p>
    <w:p w14:paraId="7461A7F3">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0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drawing>
          <wp:anchor distT="0" distB="0" distL="114300" distR="114300" simplePos="0" relativeHeight="251661312" behindDoc="1" locked="0" layoutInCell="1" allowOverlap="1">
            <wp:simplePos x="0" y="0"/>
            <wp:positionH relativeFrom="column">
              <wp:posOffset>12671425</wp:posOffset>
            </wp:positionH>
            <wp:positionV relativeFrom="paragraph">
              <wp:posOffset>2217420</wp:posOffset>
            </wp:positionV>
            <wp:extent cx="152400" cy="2986405"/>
            <wp:effectExtent l="0" t="0" r="0" b="4445"/>
            <wp:wrapNone/>
            <wp:docPr id="5" name="IM 14"/>
            <wp:cNvGraphicFramePr/>
            <a:graphic xmlns:a="http://schemas.openxmlformats.org/drawingml/2006/main">
              <a:graphicData uri="http://schemas.openxmlformats.org/drawingml/2006/picture">
                <pic:pic xmlns:pic="http://schemas.openxmlformats.org/drawingml/2006/picture">
                  <pic:nvPicPr>
                    <pic:cNvPr id="5" name="IM 14"/>
                    <pic:cNvPicPr/>
                  </pic:nvPicPr>
                  <pic:blipFill>
                    <a:blip r:embed="rId11"/>
                    <a:stretch>
                      <a:fillRect/>
                    </a:stretch>
                  </pic:blipFill>
                  <pic:spPr>
                    <a:xfrm>
                      <a:off x="0" y="0"/>
                      <a:ext cx="152400" cy="2986405"/>
                    </a:xfrm>
                    <a:prstGeom prst="rect">
                      <a:avLst/>
                    </a:prstGeom>
                    <a:noFill/>
                    <a:ln>
                      <a:noFill/>
                    </a:ln>
                  </pic:spPr>
                </pic:pic>
              </a:graphicData>
            </a:graphic>
          </wp:anchor>
        </w:drawing>
      </w:r>
      <w:r>
        <w:rPr>
          <w:rFonts w:hint="eastAsia" w:ascii="宋体" w:hAnsi="宋体" w:eastAsia="宋体" w:cs="宋体"/>
          <w:color w:val="auto"/>
          <w:spacing w:val="4"/>
          <w:sz w:val="20"/>
          <w:szCs w:val="20"/>
          <w:highlight w:val="none"/>
        </w:rPr>
        <w:t>1</w:t>
      </w:r>
      <w:r>
        <w:rPr>
          <w:rFonts w:hint="eastAsia" w:ascii="宋体" w:hAnsi="宋体" w:eastAsia="宋体" w:cs="宋体"/>
          <w:color w:val="auto"/>
          <w:spacing w:val="4"/>
          <w:sz w:val="20"/>
          <w:szCs w:val="20"/>
          <w:highlight w:val="none"/>
          <w:lang w:val="en-US" w:eastAsia="zh-CN"/>
        </w:rPr>
        <w:t>.</w:t>
      </w:r>
      <w:r>
        <w:rPr>
          <w:rFonts w:hint="eastAsia" w:ascii="宋体" w:hAnsi="宋体" w:eastAsia="宋体" w:cs="宋体"/>
          <w:color w:val="auto"/>
          <w:spacing w:val="4"/>
          <w:sz w:val="20"/>
          <w:szCs w:val="20"/>
          <w:highlight w:val="none"/>
        </w:rPr>
        <w:t>乙方及乙方工作人员不得利用为甲方提供动态心电数据的预</w:t>
      </w:r>
      <w:r>
        <w:rPr>
          <w:rFonts w:hint="eastAsia" w:ascii="宋体" w:hAnsi="宋体" w:eastAsia="宋体" w:cs="宋体"/>
          <w:color w:val="auto"/>
          <w:spacing w:val="-4"/>
          <w:sz w:val="20"/>
          <w:szCs w:val="20"/>
          <w:highlight w:val="none"/>
        </w:rPr>
        <w:t>分析服务获取的甲方及甲方患者的信息，从事与其他有</w:t>
      </w:r>
      <w:r>
        <w:rPr>
          <w:rFonts w:hint="eastAsia" w:ascii="宋体" w:hAnsi="宋体" w:eastAsia="宋体" w:cs="宋体"/>
          <w:color w:val="auto"/>
          <w:spacing w:val="-5"/>
          <w:sz w:val="20"/>
          <w:szCs w:val="20"/>
          <w:highlight w:val="none"/>
        </w:rPr>
        <w:t>关联或其</w:t>
      </w:r>
      <w:r>
        <w:rPr>
          <w:rFonts w:hint="eastAsia" w:ascii="宋体" w:hAnsi="宋体" w:eastAsia="宋体" w:cs="宋体"/>
          <w:color w:val="auto"/>
          <w:spacing w:val="-6"/>
          <w:sz w:val="20"/>
          <w:szCs w:val="20"/>
          <w:highlight w:val="none"/>
        </w:rPr>
        <w:t>他医疗机构有关的业务服务，否则甲方有权采取中止乙方服务等措施，</w:t>
      </w:r>
      <w:r>
        <w:rPr>
          <w:rFonts w:hint="eastAsia" w:ascii="宋体" w:hAnsi="宋体" w:eastAsia="宋体" w:cs="宋体"/>
          <w:color w:val="auto"/>
          <w:spacing w:val="5"/>
          <w:sz w:val="20"/>
          <w:szCs w:val="20"/>
          <w:highlight w:val="none"/>
        </w:rPr>
        <w:t>由此产生的任何责任(包括但不限于给甲方、甲方的患者等造成的影</w:t>
      </w:r>
      <w:r>
        <w:rPr>
          <w:rFonts w:hint="eastAsia" w:ascii="宋体" w:hAnsi="宋体" w:eastAsia="宋体" w:cs="宋体"/>
          <w:color w:val="auto"/>
          <w:spacing w:val="15"/>
          <w:sz w:val="20"/>
          <w:szCs w:val="20"/>
          <w:highlight w:val="none"/>
        </w:rPr>
        <w:t>响和损失),均由乙方承担法律责任。</w:t>
      </w:r>
    </w:p>
    <w:p w14:paraId="57199DA2">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7"/>
          <w:sz w:val="20"/>
          <w:szCs w:val="20"/>
          <w:highlight w:val="none"/>
        </w:rPr>
        <w:t>2</w:t>
      </w:r>
      <w:r>
        <w:rPr>
          <w:rFonts w:hint="eastAsia" w:ascii="宋体" w:hAnsi="宋体" w:eastAsia="宋体" w:cs="宋体"/>
          <w:color w:val="auto"/>
          <w:spacing w:val="7"/>
          <w:sz w:val="20"/>
          <w:szCs w:val="20"/>
          <w:highlight w:val="none"/>
          <w:lang w:val="en-US" w:eastAsia="zh-CN"/>
        </w:rPr>
        <w:t>.</w:t>
      </w:r>
      <w:r>
        <w:rPr>
          <w:rFonts w:hint="eastAsia" w:ascii="宋体" w:hAnsi="宋体" w:eastAsia="宋体" w:cs="宋体"/>
          <w:color w:val="auto"/>
          <w:spacing w:val="7"/>
          <w:sz w:val="20"/>
          <w:szCs w:val="20"/>
          <w:highlight w:val="none"/>
        </w:rPr>
        <w:t>服务期满后，乙方所获得的甲方及所属医疗机构</w:t>
      </w:r>
      <w:r>
        <w:rPr>
          <w:rFonts w:hint="eastAsia" w:ascii="宋体" w:hAnsi="宋体" w:eastAsia="宋体" w:cs="宋体"/>
          <w:color w:val="auto"/>
          <w:spacing w:val="6"/>
          <w:sz w:val="20"/>
          <w:szCs w:val="20"/>
          <w:highlight w:val="none"/>
        </w:rPr>
        <w:t>提供给乙方</w:t>
      </w:r>
      <w:r>
        <w:rPr>
          <w:rFonts w:hint="eastAsia" w:ascii="宋体" w:hAnsi="宋体" w:eastAsia="宋体" w:cs="宋体"/>
          <w:color w:val="auto"/>
          <w:spacing w:val="18"/>
          <w:sz w:val="20"/>
          <w:szCs w:val="20"/>
          <w:highlight w:val="none"/>
        </w:rPr>
        <w:t>的材料或乙方在提供服务过程中获得的一切与</w:t>
      </w:r>
      <w:r>
        <w:rPr>
          <w:rFonts w:hint="eastAsia" w:ascii="宋体" w:hAnsi="宋体" w:eastAsia="宋体" w:cs="宋体"/>
          <w:color w:val="auto"/>
          <w:spacing w:val="17"/>
          <w:sz w:val="20"/>
          <w:szCs w:val="20"/>
          <w:highlight w:val="none"/>
        </w:rPr>
        <w:t>甲方及所属医疗机构</w:t>
      </w:r>
      <w:r>
        <w:rPr>
          <w:rFonts w:hint="eastAsia" w:ascii="宋体" w:hAnsi="宋体" w:eastAsia="宋体" w:cs="宋体"/>
          <w:color w:val="auto"/>
          <w:spacing w:val="4"/>
          <w:sz w:val="20"/>
          <w:szCs w:val="20"/>
          <w:highlight w:val="none"/>
        </w:rPr>
        <w:t>的保密信息，包括但不限于患者隐私、患者信息、甲方文件、数据、</w:t>
      </w:r>
      <w:r>
        <w:rPr>
          <w:rFonts w:hint="eastAsia" w:ascii="宋体" w:hAnsi="宋体" w:eastAsia="宋体" w:cs="宋体"/>
          <w:color w:val="auto"/>
          <w:spacing w:val="-1"/>
          <w:sz w:val="20"/>
          <w:szCs w:val="20"/>
          <w:highlight w:val="none"/>
        </w:rPr>
        <w:t>费用清单等资料，保密信息应仍为甲方及所属医疗机构的财产</w:t>
      </w:r>
      <w:r>
        <w:rPr>
          <w:rFonts w:hint="eastAsia" w:ascii="宋体" w:hAnsi="宋体" w:eastAsia="宋体" w:cs="宋体"/>
          <w:color w:val="auto"/>
          <w:spacing w:val="-2"/>
          <w:sz w:val="20"/>
          <w:szCs w:val="20"/>
          <w:highlight w:val="none"/>
        </w:rPr>
        <w:t>，且乙方应立即归还原件和据此制作的副本，并删除存储于本方电脑、服务</w:t>
      </w:r>
      <w:r>
        <w:rPr>
          <w:rFonts w:hint="eastAsia" w:ascii="宋体" w:hAnsi="宋体" w:eastAsia="宋体" w:cs="宋体"/>
          <w:color w:val="auto"/>
          <w:spacing w:val="-1"/>
          <w:sz w:val="20"/>
          <w:szCs w:val="20"/>
          <w:highlight w:val="none"/>
        </w:rPr>
        <w:t>器或其他存储介质的有关信息</w:t>
      </w:r>
      <w:r>
        <w:rPr>
          <w:rFonts w:hint="eastAsia" w:ascii="宋体" w:hAnsi="宋体" w:eastAsia="宋体" w:cs="宋体"/>
          <w:color w:val="auto"/>
          <w:spacing w:val="-1"/>
          <w:sz w:val="20"/>
          <w:szCs w:val="20"/>
          <w:highlight w:val="none"/>
          <w:lang w:eastAsia="zh-CN"/>
        </w:rPr>
        <w:t>。</w:t>
      </w:r>
    </w:p>
    <w:p w14:paraId="02327ACC">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16"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3</w:t>
      </w:r>
      <w:r>
        <w:rPr>
          <w:rFonts w:hint="eastAsia" w:ascii="宋体" w:hAnsi="宋体" w:eastAsia="宋体" w:cs="宋体"/>
          <w:color w:val="auto"/>
          <w:spacing w:val="4"/>
          <w:sz w:val="20"/>
          <w:szCs w:val="20"/>
          <w:highlight w:val="none"/>
          <w:lang w:val="en-US" w:eastAsia="zh-CN"/>
        </w:rPr>
        <w:t>.</w:t>
      </w:r>
      <w:r>
        <w:rPr>
          <w:rFonts w:hint="eastAsia" w:ascii="宋体" w:hAnsi="宋体" w:eastAsia="宋体" w:cs="宋体"/>
          <w:color w:val="auto"/>
          <w:spacing w:val="4"/>
          <w:sz w:val="20"/>
          <w:szCs w:val="20"/>
          <w:highlight w:val="none"/>
        </w:rPr>
        <w:t>未经乙方授权，甲方不得将乙方提供的软硬件以转让、拷贝、</w:t>
      </w:r>
      <w:r>
        <w:rPr>
          <w:rFonts w:hint="eastAsia" w:ascii="宋体" w:hAnsi="宋体" w:eastAsia="宋体" w:cs="宋体"/>
          <w:color w:val="auto"/>
          <w:spacing w:val="10"/>
          <w:sz w:val="20"/>
          <w:szCs w:val="20"/>
          <w:highlight w:val="none"/>
        </w:rPr>
        <w:t>租借等方式提供给第三方。服务期满后，乙方有权将安装在甲方</w:t>
      </w:r>
      <w:r>
        <w:rPr>
          <w:rFonts w:hint="eastAsia" w:ascii="宋体" w:hAnsi="宋体" w:eastAsia="宋体" w:cs="宋体"/>
          <w:color w:val="auto"/>
          <w:spacing w:val="9"/>
          <w:sz w:val="20"/>
          <w:szCs w:val="20"/>
          <w:highlight w:val="none"/>
        </w:rPr>
        <w:t>服务</w:t>
      </w:r>
      <w:r>
        <w:rPr>
          <w:rFonts w:hint="eastAsia" w:ascii="宋体" w:hAnsi="宋体" w:eastAsia="宋体" w:cs="宋体"/>
          <w:color w:val="auto"/>
          <w:spacing w:val="11"/>
          <w:sz w:val="20"/>
          <w:szCs w:val="20"/>
          <w:highlight w:val="none"/>
        </w:rPr>
        <w:t>器上的配套软件卸载并关闭账号。</w:t>
      </w:r>
    </w:p>
    <w:p w14:paraId="6AA703A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jc w:val="both"/>
        <w:textAlignment w:val="auto"/>
        <w:outlineLvl w:val="9"/>
        <w:rPr>
          <w:rFonts w:hint="eastAsia" w:ascii="宋体" w:hAnsi="宋体" w:eastAsia="宋体" w:cs="宋体"/>
          <w:b/>
          <w:bCs/>
          <w:color w:val="auto"/>
          <w:spacing w:val="22"/>
          <w:sz w:val="20"/>
          <w:szCs w:val="20"/>
          <w:highlight w:val="none"/>
        </w:rPr>
      </w:pPr>
    </w:p>
    <w:p w14:paraId="69275D1B">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9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b/>
          <w:bCs/>
          <w:color w:val="auto"/>
          <w:spacing w:val="22"/>
          <w:sz w:val="20"/>
          <w:szCs w:val="20"/>
          <w:highlight w:val="none"/>
        </w:rPr>
        <w:t>第六条</w:t>
      </w:r>
      <w:r>
        <w:rPr>
          <w:rFonts w:hint="eastAsia" w:ascii="宋体" w:hAnsi="宋体" w:eastAsia="宋体" w:cs="宋体"/>
          <w:color w:val="auto"/>
          <w:spacing w:val="11"/>
          <w:sz w:val="20"/>
          <w:szCs w:val="20"/>
          <w:highlight w:val="none"/>
        </w:rPr>
        <w:t xml:space="preserve">  </w:t>
      </w:r>
      <w:r>
        <w:rPr>
          <w:rFonts w:hint="eastAsia" w:ascii="宋体" w:hAnsi="宋体" w:eastAsia="宋体" w:cs="宋体"/>
          <w:b/>
          <w:bCs/>
          <w:color w:val="auto"/>
          <w:spacing w:val="22"/>
          <w:sz w:val="20"/>
          <w:szCs w:val="20"/>
          <w:highlight w:val="none"/>
        </w:rPr>
        <w:t>违约责任</w:t>
      </w:r>
    </w:p>
    <w:p w14:paraId="036A30C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1</w:t>
      </w:r>
      <w:r>
        <w:rPr>
          <w:rFonts w:hint="eastAsia" w:ascii="宋体" w:hAnsi="宋体" w:eastAsia="宋体" w:cs="宋体"/>
          <w:color w:val="auto"/>
          <w:spacing w:val="7"/>
          <w:sz w:val="20"/>
          <w:szCs w:val="20"/>
          <w:highlight w:val="none"/>
          <w:lang w:val="en-US" w:eastAsia="zh-CN"/>
        </w:rPr>
        <w:t>.</w:t>
      </w:r>
      <w:r>
        <w:rPr>
          <w:rFonts w:hint="eastAsia" w:ascii="宋体" w:hAnsi="宋体" w:eastAsia="宋体" w:cs="宋体"/>
          <w:color w:val="auto"/>
          <w:spacing w:val="7"/>
          <w:sz w:val="20"/>
          <w:szCs w:val="20"/>
          <w:highlight w:val="none"/>
        </w:rPr>
        <w:t>本协议生效后，本协议不因双方各自的分立、合并、改制、股权变动而终止合作。本协议不应视为双方之间形成雇佣关系，任一方不应为另一方的行为承担任何连带责任。</w:t>
      </w:r>
    </w:p>
    <w:p w14:paraId="42503AA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rPr>
        <w:t>2</w:t>
      </w:r>
      <w:r>
        <w:rPr>
          <w:rFonts w:hint="eastAsia" w:ascii="宋体" w:hAnsi="宋体" w:eastAsia="宋体" w:cs="宋体"/>
          <w:color w:val="auto"/>
          <w:spacing w:val="7"/>
          <w:sz w:val="20"/>
          <w:szCs w:val="20"/>
          <w:highlight w:val="none"/>
          <w:lang w:val="en-US" w:eastAsia="zh-CN"/>
        </w:rPr>
        <w:t>.</w:t>
      </w:r>
      <w:r>
        <w:rPr>
          <w:rFonts w:hint="eastAsia" w:ascii="宋体" w:hAnsi="宋体" w:eastAsia="宋体" w:cs="宋体"/>
          <w:color w:val="auto"/>
          <w:spacing w:val="7"/>
          <w:sz w:val="20"/>
          <w:szCs w:val="20"/>
          <w:highlight w:val="none"/>
        </w:rPr>
        <w:t>本协议一经签订，甲乙双方均应严格按照本协议约定履行各自合同义务，</w:t>
      </w:r>
      <w:r>
        <w:rPr>
          <w:rFonts w:hint="eastAsia" w:ascii="宋体" w:hAnsi="宋体" w:eastAsia="宋体" w:cs="宋体"/>
          <w:color w:val="auto"/>
          <w:spacing w:val="7"/>
          <w:sz w:val="20"/>
          <w:szCs w:val="20"/>
          <w:highlight w:val="none"/>
          <w:lang w:val="en-US" w:eastAsia="zh-CN"/>
        </w:rPr>
        <w:t>如果本协议任何一方未能履行其在本协议下义务的，均构成违约事件。本协议如因</w:t>
      </w:r>
      <w:r>
        <w:rPr>
          <w:rFonts w:hint="eastAsia" w:ascii="宋体" w:hAnsi="宋体" w:eastAsia="宋体" w:cs="宋体"/>
          <w:color w:val="auto"/>
          <w:spacing w:val="7"/>
          <w:sz w:val="20"/>
          <w:szCs w:val="20"/>
          <w:highlight w:val="none"/>
        </w:rPr>
        <w:t>法律法规调整</w:t>
      </w:r>
      <w:r>
        <w:rPr>
          <w:rFonts w:hint="eastAsia" w:ascii="宋体" w:hAnsi="宋体" w:eastAsia="宋体" w:cs="宋体"/>
          <w:color w:val="auto"/>
          <w:spacing w:val="7"/>
          <w:sz w:val="20"/>
          <w:szCs w:val="20"/>
          <w:highlight w:val="none"/>
          <w:lang w:eastAsia="zh-CN"/>
        </w:rPr>
        <w:t>、</w:t>
      </w:r>
      <w:r>
        <w:rPr>
          <w:rFonts w:hint="eastAsia" w:ascii="宋体" w:hAnsi="宋体" w:eastAsia="宋体" w:cs="宋体"/>
          <w:color w:val="auto"/>
          <w:spacing w:val="7"/>
          <w:sz w:val="20"/>
          <w:szCs w:val="20"/>
          <w:highlight w:val="none"/>
        </w:rPr>
        <w:t>政策变更</w:t>
      </w:r>
      <w:r>
        <w:rPr>
          <w:rFonts w:hint="eastAsia" w:ascii="宋体" w:hAnsi="宋体" w:eastAsia="宋体" w:cs="宋体"/>
          <w:color w:val="auto"/>
          <w:spacing w:val="7"/>
          <w:sz w:val="20"/>
          <w:szCs w:val="20"/>
          <w:highlight w:val="none"/>
          <w:lang w:val="en-US" w:eastAsia="zh-CN"/>
        </w:rPr>
        <w:t>等不可抗力因素</w:t>
      </w:r>
      <w:r>
        <w:rPr>
          <w:rFonts w:hint="eastAsia" w:ascii="宋体" w:hAnsi="宋体" w:eastAsia="宋体" w:cs="宋体"/>
          <w:color w:val="auto"/>
          <w:spacing w:val="7"/>
          <w:sz w:val="20"/>
          <w:szCs w:val="20"/>
          <w:highlight w:val="none"/>
        </w:rPr>
        <w:t>导致本协议全部或部分无法履行的，受影响一方应及时通知对方并提供有效证明文件，双方互不向对方承担违约责任，并可协商变更或解除本协议。</w:t>
      </w:r>
    </w:p>
    <w:p w14:paraId="069E347E">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lang w:val="en-US" w:eastAsia="zh-CN"/>
        </w:rPr>
        <w:t>3.服务中因漏诊、误诊产生医疗纠纷，以医学会或司法鉴定机构鉴定结论为依据，各方按过错比例担责；甲方未经鉴定自行与患者和解的，相关责任由双方另行协商处理。</w:t>
      </w:r>
    </w:p>
    <w:p w14:paraId="4961C08D">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lang w:val="en-US" w:eastAsia="zh-CN"/>
        </w:rPr>
        <w:t>4.出现下列任一重大违约情形，致使双方合作无法正常持续开展的，守约方有权单方书面通知对方终止本协议，并要求违约方赔偿守约方因此遭受的全部实际经济损失：</w:t>
      </w:r>
    </w:p>
    <w:p w14:paraId="51DEADF4">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lang w:val="en-US" w:eastAsia="zh-CN"/>
        </w:rPr>
        <w:t>4.1 甲方逾期、拖欠应付乙方服务费用；</w:t>
      </w:r>
    </w:p>
    <w:p w14:paraId="5BA86EBB">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default"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lang w:val="en-US" w:eastAsia="zh-CN"/>
        </w:rPr>
        <w:t>4.2 乙方未按约定开展设备维护、故障问题响应滞后、诊断报告出具迟延，或报告诊断准确率持续低于95%等。</w:t>
      </w:r>
    </w:p>
    <w:p w14:paraId="13EB5B3E">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28" w:firstLineChars="200"/>
        <w:jc w:val="both"/>
        <w:textAlignment w:val="auto"/>
        <w:outlineLvl w:val="9"/>
        <w:rPr>
          <w:rFonts w:hint="default" w:ascii="宋体" w:hAnsi="宋体" w:eastAsia="宋体" w:cs="宋体"/>
          <w:color w:val="auto"/>
          <w:spacing w:val="7"/>
          <w:sz w:val="20"/>
          <w:szCs w:val="20"/>
          <w:highlight w:val="none"/>
          <w:lang w:val="en-US" w:eastAsia="zh-CN"/>
        </w:rPr>
      </w:pPr>
    </w:p>
    <w:p w14:paraId="5F059A33">
      <w:pPr>
        <w:keepNext w:val="0"/>
        <w:keepLines w:val="0"/>
        <w:pageBreakBefore w:val="0"/>
        <w:widowControl w:val="0"/>
        <w:numPr>
          <w:ilvl w:val="0"/>
          <w:numId w:val="6"/>
        </w:numPr>
        <w:kinsoku w:val="0"/>
        <w:wordWrap/>
        <w:overflowPunct/>
        <w:topLinePunct w:val="0"/>
        <w:autoSpaceDE w:val="0"/>
        <w:autoSpaceDN w:val="0"/>
        <w:bidi w:val="0"/>
        <w:adjustRightInd w:val="0"/>
        <w:snapToGrid w:val="0"/>
        <w:spacing w:line="240" w:lineRule="auto"/>
        <w:ind w:left="0" w:right="0" w:rightChars="0" w:firstLine="440" w:firstLineChars="200"/>
        <w:jc w:val="both"/>
        <w:textAlignment w:val="auto"/>
        <w:outlineLvl w:val="9"/>
        <w:rPr>
          <w:rFonts w:hint="eastAsia" w:ascii="宋体" w:hAnsi="宋体" w:eastAsia="宋体" w:cs="宋体"/>
          <w:b/>
          <w:bCs/>
          <w:color w:val="auto"/>
          <w:spacing w:val="10"/>
          <w:sz w:val="20"/>
          <w:szCs w:val="20"/>
          <w:highlight w:val="none"/>
        </w:rPr>
      </w:pPr>
      <w:r>
        <w:rPr>
          <w:rFonts w:hint="eastAsia" w:ascii="宋体" w:hAnsi="宋体" w:eastAsia="宋体" w:cs="宋体"/>
          <w:color w:val="auto"/>
          <w:spacing w:val="10"/>
          <w:sz w:val="20"/>
          <w:szCs w:val="20"/>
          <w:highlight w:val="none"/>
        </w:rPr>
        <w:t xml:space="preserve"> </w:t>
      </w:r>
      <w:r>
        <w:rPr>
          <w:rFonts w:hint="eastAsia" w:ascii="宋体" w:hAnsi="宋体" w:eastAsia="宋体" w:cs="宋体"/>
          <w:b/>
          <w:bCs/>
          <w:color w:val="auto"/>
          <w:spacing w:val="10"/>
          <w:sz w:val="20"/>
          <w:szCs w:val="20"/>
          <w:highlight w:val="none"/>
        </w:rPr>
        <w:t>一般条款</w:t>
      </w:r>
    </w:p>
    <w:p w14:paraId="12C4BB2C">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430" w:firstLineChars="200"/>
        <w:jc w:val="both"/>
        <w:textAlignment w:val="auto"/>
        <w:outlineLvl w:val="9"/>
        <w:rPr>
          <w:rFonts w:hint="eastAsia" w:ascii="宋体" w:hAnsi="宋体" w:eastAsia="宋体" w:cs="宋体"/>
          <w:color w:val="auto"/>
          <w:spacing w:val="7"/>
          <w:sz w:val="20"/>
          <w:szCs w:val="20"/>
          <w:highlight w:val="none"/>
          <w:lang w:val="en-US" w:eastAsia="zh-CN"/>
        </w:rPr>
      </w:pPr>
      <w:r>
        <w:rPr>
          <w:rFonts w:hint="eastAsia" w:ascii="宋体" w:hAnsi="宋体" w:eastAsia="宋体" w:cs="宋体"/>
          <w:b/>
          <w:bCs/>
          <w:color w:val="auto"/>
          <w:spacing w:val="7"/>
          <w:sz w:val="20"/>
          <w:szCs w:val="20"/>
          <w:highlight w:val="none"/>
          <w:lang w:val="en-US" w:eastAsia="zh-CN"/>
        </w:rPr>
        <w:t>（一）</w:t>
      </w:r>
      <w:r>
        <w:rPr>
          <w:rFonts w:hint="eastAsia" w:ascii="宋体" w:hAnsi="宋体" w:eastAsia="宋体" w:cs="宋体"/>
          <w:color w:val="auto"/>
          <w:spacing w:val="7"/>
          <w:sz w:val="20"/>
          <w:szCs w:val="20"/>
          <w:highlight w:val="none"/>
          <w:lang w:val="en-US" w:eastAsia="zh-CN"/>
        </w:rPr>
        <w:t>本协议约定有效期届满之日（自合同签订之日起一年，或本项目采购预算使用结算完为止，以先到达的条件为准），协议自动终止，双方无需另行出具书面终止通知。</w:t>
      </w:r>
    </w:p>
    <w:p w14:paraId="6D039CD7">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594" w:firstLineChars="200"/>
        <w:jc w:val="both"/>
        <w:textAlignment w:val="auto"/>
        <w:outlineLvl w:val="9"/>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pacing w:val="48"/>
          <w:sz w:val="20"/>
          <w:szCs w:val="20"/>
          <w:highlight w:val="none"/>
        </w:rPr>
        <w:t>(</w:t>
      </w:r>
      <w:r>
        <w:rPr>
          <w:rFonts w:hint="eastAsia" w:ascii="宋体" w:hAnsi="宋体" w:eastAsia="宋体" w:cs="宋体"/>
          <w:b/>
          <w:bCs/>
          <w:color w:val="auto"/>
          <w:spacing w:val="48"/>
          <w:sz w:val="20"/>
          <w:szCs w:val="20"/>
          <w:highlight w:val="none"/>
          <w:lang w:val="en-US" w:eastAsia="zh-CN"/>
        </w:rPr>
        <w:t>二</w:t>
      </w:r>
      <w:r>
        <w:rPr>
          <w:rFonts w:hint="eastAsia" w:ascii="宋体" w:hAnsi="宋体" w:eastAsia="宋体" w:cs="宋体"/>
          <w:b/>
          <w:bCs/>
          <w:color w:val="auto"/>
          <w:spacing w:val="48"/>
          <w:sz w:val="20"/>
          <w:szCs w:val="20"/>
          <w:highlight w:val="none"/>
        </w:rPr>
        <w:t>)</w:t>
      </w:r>
      <w:r>
        <w:rPr>
          <w:rFonts w:hint="eastAsia" w:ascii="宋体" w:hAnsi="宋体" w:eastAsia="宋体" w:cs="宋体"/>
          <w:b/>
          <w:bCs/>
          <w:color w:val="auto"/>
          <w:spacing w:val="48"/>
          <w:sz w:val="20"/>
          <w:szCs w:val="20"/>
          <w:highlight w:val="none"/>
          <w:lang w:val="en-US" w:eastAsia="zh-CN"/>
        </w:rPr>
        <w:t>协议解除</w:t>
      </w:r>
    </w:p>
    <w:p w14:paraId="0CAAA4FE">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68"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rPr>
        <w:t>1</w:t>
      </w:r>
      <w:r>
        <w:rPr>
          <w:rFonts w:hint="eastAsia" w:ascii="宋体" w:hAnsi="宋体" w:eastAsia="宋体" w:cs="宋体"/>
          <w:color w:val="auto"/>
          <w:spacing w:val="17"/>
          <w:sz w:val="20"/>
          <w:szCs w:val="20"/>
          <w:highlight w:val="none"/>
          <w:lang w:val="en-US" w:eastAsia="zh-CN"/>
        </w:rPr>
        <w:t>.</w:t>
      </w:r>
      <w:r>
        <w:rPr>
          <w:rFonts w:hint="eastAsia" w:ascii="宋体" w:hAnsi="宋体" w:eastAsia="宋体" w:cs="宋体"/>
          <w:color w:val="auto"/>
          <w:spacing w:val="17"/>
          <w:sz w:val="20"/>
          <w:szCs w:val="20"/>
          <w:highlight w:val="none"/>
        </w:rPr>
        <w:t>协议解除，是指依法提前终止合同关系。经一方提前书面通</w:t>
      </w:r>
      <w:r>
        <w:rPr>
          <w:rFonts w:hint="eastAsia" w:ascii="宋体" w:hAnsi="宋体" w:eastAsia="宋体" w:cs="宋体"/>
          <w:color w:val="auto"/>
          <w:spacing w:val="9"/>
          <w:sz w:val="20"/>
          <w:szCs w:val="20"/>
          <w:highlight w:val="none"/>
        </w:rPr>
        <w:t>知，甲乙双方可以协商一致解除协议。</w:t>
      </w:r>
    </w:p>
    <w:p w14:paraId="50A5E83C">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84"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1"/>
          <w:sz w:val="20"/>
          <w:szCs w:val="20"/>
          <w:highlight w:val="none"/>
        </w:rPr>
        <w:t>2</w:t>
      </w:r>
      <w:r>
        <w:rPr>
          <w:rFonts w:hint="eastAsia" w:ascii="宋体" w:hAnsi="宋体" w:eastAsia="宋体" w:cs="宋体"/>
          <w:color w:val="auto"/>
          <w:spacing w:val="21"/>
          <w:sz w:val="20"/>
          <w:szCs w:val="20"/>
          <w:highlight w:val="none"/>
          <w:lang w:val="en-US" w:eastAsia="zh-CN"/>
        </w:rPr>
        <w:t>.</w:t>
      </w:r>
      <w:r>
        <w:rPr>
          <w:rFonts w:hint="eastAsia" w:ascii="宋体" w:hAnsi="宋体" w:eastAsia="宋体" w:cs="宋体"/>
          <w:color w:val="auto"/>
          <w:spacing w:val="21"/>
          <w:sz w:val="20"/>
          <w:szCs w:val="20"/>
          <w:highlight w:val="none"/>
        </w:rPr>
        <w:t>双方确认，出现下列情形，致使本协议的履行成为不必要或</w:t>
      </w:r>
      <w:r>
        <w:rPr>
          <w:rFonts w:hint="eastAsia" w:ascii="宋体" w:hAnsi="宋体" w:eastAsia="宋体" w:cs="宋体"/>
          <w:color w:val="auto"/>
          <w:spacing w:val="10"/>
          <w:sz w:val="20"/>
          <w:szCs w:val="20"/>
          <w:highlight w:val="none"/>
        </w:rPr>
        <w:t>不可能的，一方可以书面通知另一方解除本协议：</w:t>
      </w:r>
    </w:p>
    <w:p w14:paraId="58BA2021">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504"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6"/>
          <w:sz w:val="20"/>
          <w:szCs w:val="20"/>
          <w:highlight w:val="none"/>
        </w:rPr>
        <w:t>(1)</w:t>
      </w:r>
      <w:r>
        <w:rPr>
          <w:rFonts w:hint="eastAsia" w:ascii="宋体" w:hAnsi="宋体" w:eastAsia="宋体" w:cs="宋体"/>
          <w:color w:val="auto"/>
          <w:spacing w:val="26"/>
          <w:sz w:val="20"/>
          <w:szCs w:val="20"/>
          <w:highlight w:val="none"/>
          <w:lang w:val="en-US" w:eastAsia="zh-CN"/>
        </w:rPr>
        <w:t xml:space="preserve"> </w:t>
      </w:r>
      <w:r>
        <w:rPr>
          <w:rFonts w:hint="eastAsia" w:ascii="宋体" w:hAnsi="宋体" w:eastAsia="宋体" w:cs="宋体"/>
          <w:color w:val="auto"/>
          <w:spacing w:val="26"/>
          <w:sz w:val="20"/>
          <w:szCs w:val="20"/>
          <w:highlight w:val="none"/>
        </w:rPr>
        <w:t>因发生不可抗力。</w:t>
      </w:r>
    </w:p>
    <w:p w14:paraId="4C912152">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504"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26"/>
          <w:sz w:val="20"/>
          <w:szCs w:val="20"/>
          <w:highlight w:val="none"/>
        </w:rPr>
        <w:t>(2)</w:t>
      </w:r>
      <w:r>
        <w:rPr>
          <w:rFonts w:hint="eastAsia" w:ascii="宋体" w:hAnsi="宋体" w:eastAsia="宋体" w:cs="宋体"/>
          <w:color w:val="auto"/>
          <w:spacing w:val="26"/>
          <w:sz w:val="20"/>
          <w:szCs w:val="20"/>
          <w:highlight w:val="none"/>
          <w:lang w:val="en-US" w:eastAsia="zh-CN"/>
        </w:rPr>
        <w:t xml:space="preserve"> </w:t>
      </w:r>
      <w:r>
        <w:rPr>
          <w:rFonts w:hint="eastAsia" w:ascii="宋体" w:hAnsi="宋体" w:eastAsia="宋体" w:cs="宋体"/>
          <w:color w:val="auto"/>
          <w:spacing w:val="26"/>
          <w:sz w:val="20"/>
          <w:szCs w:val="20"/>
          <w:highlight w:val="none"/>
        </w:rPr>
        <w:t>因对方违约使协议履行不能继续或没有必要继续履行。</w:t>
      </w:r>
    </w:p>
    <w:p w14:paraId="6791965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auto"/>
        <w:ind w:right="0" w:rightChars="0" w:firstLine="504" w:firstLineChars="200"/>
        <w:jc w:val="both"/>
        <w:textAlignment w:val="auto"/>
        <w:outlineLvl w:val="9"/>
        <w:rPr>
          <w:rFonts w:hint="eastAsia" w:ascii="宋体" w:hAnsi="宋体" w:eastAsia="宋体" w:cs="宋体"/>
          <w:color w:val="auto"/>
          <w:spacing w:val="27"/>
          <w:sz w:val="20"/>
          <w:szCs w:val="20"/>
          <w:highlight w:val="none"/>
        </w:rPr>
      </w:pPr>
      <w:r>
        <w:rPr>
          <w:rFonts w:hint="eastAsia" w:ascii="宋体" w:hAnsi="宋体" w:eastAsia="宋体" w:cs="宋体"/>
          <w:color w:val="auto"/>
          <w:spacing w:val="26"/>
          <w:sz w:val="20"/>
          <w:szCs w:val="20"/>
          <w:highlight w:val="none"/>
        </w:rPr>
        <w:t>(</w:t>
      </w:r>
      <w:r>
        <w:rPr>
          <w:rFonts w:hint="eastAsia" w:ascii="宋体" w:hAnsi="宋体" w:eastAsia="宋体" w:cs="宋体"/>
          <w:color w:val="auto"/>
          <w:spacing w:val="26"/>
          <w:sz w:val="20"/>
          <w:szCs w:val="20"/>
          <w:highlight w:val="none"/>
          <w:lang w:val="en-US" w:eastAsia="zh-CN"/>
        </w:rPr>
        <w:t>3</w:t>
      </w:r>
      <w:r>
        <w:rPr>
          <w:rFonts w:hint="eastAsia" w:ascii="宋体" w:hAnsi="宋体" w:eastAsia="宋体" w:cs="宋体"/>
          <w:color w:val="auto"/>
          <w:spacing w:val="26"/>
          <w:sz w:val="20"/>
          <w:szCs w:val="20"/>
          <w:highlight w:val="none"/>
        </w:rPr>
        <w:t>)</w:t>
      </w:r>
      <w:r>
        <w:rPr>
          <w:rFonts w:hint="eastAsia" w:ascii="宋体" w:hAnsi="宋体" w:eastAsia="宋体" w:cs="宋体"/>
          <w:color w:val="auto"/>
          <w:spacing w:val="26"/>
          <w:sz w:val="20"/>
          <w:szCs w:val="20"/>
          <w:highlight w:val="none"/>
          <w:lang w:val="en-US" w:eastAsia="zh-CN"/>
        </w:rPr>
        <w:t xml:space="preserve"> </w:t>
      </w:r>
      <w:r>
        <w:rPr>
          <w:rFonts w:hint="eastAsia" w:ascii="宋体" w:hAnsi="宋体" w:eastAsia="宋体" w:cs="宋体"/>
          <w:color w:val="auto"/>
          <w:spacing w:val="21"/>
          <w:sz w:val="20"/>
          <w:szCs w:val="20"/>
          <w:highlight w:val="none"/>
        </w:rPr>
        <w:t>若乙方提供的数据存在客观性、真实性、准确性、及时性任一维度不符合约定情形，并由此致使甲方产生医疗纠纷的。</w:t>
      </w:r>
    </w:p>
    <w:p w14:paraId="5FFD3EC8">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rPr>
        <w:t>除本协议另有约定外，协议解除后，乙方已完成的服务项目</w:t>
      </w:r>
      <w:r>
        <w:rPr>
          <w:rFonts w:hint="eastAsia" w:ascii="宋体" w:hAnsi="宋体" w:eastAsia="宋体" w:cs="宋体"/>
          <w:color w:val="auto"/>
          <w:sz w:val="20"/>
          <w:szCs w:val="20"/>
          <w:highlight w:val="none"/>
        </w:rPr>
        <w:t>但未办理结算的，经甲方核对无误后，甲方需按照乙方实际完成的工</w:t>
      </w:r>
      <w:r>
        <w:rPr>
          <w:rFonts w:hint="eastAsia" w:ascii="宋体" w:hAnsi="宋体" w:eastAsia="宋体" w:cs="宋体"/>
          <w:color w:val="auto"/>
          <w:spacing w:val="3"/>
          <w:sz w:val="20"/>
          <w:szCs w:val="20"/>
          <w:highlight w:val="none"/>
        </w:rPr>
        <w:t>作量据实支付相应的服务费用，发生医疗纠纷时除外。</w:t>
      </w:r>
    </w:p>
    <w:p w14:paraId="6AC07C61">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20"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lang w:val="en-US" w:eastAsia="zh-CN"/>
        </w:rPr>
        <w:t>4.</w:t>
      </w:r>
      <w:r>
        <w:rPr>
          <w:rFonts w:hint="eastAsia" w:ascii="宋体" w:hAnsi="宋体" w:eastAsia="宋体" w:cs="宋体"/>
          <w:color w:val="auto"/>
          <w:spacing w:val="5"/>
          <w:sz w:val="20"/>
          <w:szCs w:val="20"/>
          <w:highlight w:val="none"/>
        </w:rPr>
        <w:t>若乙方未遵守甲方制定的品牌使用规范，或因其它原因对甲</w:t>
      </w:r>
      <w:r>
        <w:rPr>
          <w:rFonts w:hint="eastAsia" w:ascii="宋体" w:hAnsi="宋体" w:eastAsia="宋体" w:cs="宋体"/>
          <w:color w:val="auto"/>
          <w:spacing w:val="6"/>
          <w:sz w:val="20"/>
          <w:szCs w:val="20"/>
          <w:highlight w:val="none"/>
        </w:rPr>
        <w:t>方及甲方关联单位</w:t>
      </w:r>
      <w:r>
        <w:rPr>
          <w:rFonts w:hint="eastAsia" w:ascii="宋体" w:hAnsi="宋体" w:eastAsia="宋体" w:cs="宋体"/>
          <w:color w:val="auto"/>
          <w:spacing w:val="5"/>
          <w:sz w:val="20"/>
          <w:szCs w:val="20"/>
          <w:highlight w:val="none"/>
        </w:rPr>
        <w:t>的形象、声誉、利益造成损害</w:t>
      </w:r>
      <w:r>
        <w:rPr>
          <w:rFonts w:hint="eastAsia" w:ascii="宋体" w:hAnsi="宋体" w:eastAsia="宋体" w:cs="宋体"/>
          <w:color w:val="auto"/>
          <w:spacing w:val="4"/>
          <w:sz w:val="20"/>
          <w:szCs w:val="20"/>
          <w:highlight w:val="none"/>
        </w:rPr>
        <w:t>的，甲方可以书面通知</w:t>
      </w:r>
      <w:r>
        <w:rPr>
          <w:rFonts w:hint="eastAsia" w:ascii="宋体" w:hAnsi="宋体" w:eastAsia="宋体" w:cs="宋体"/>
          <w:color w:val="auto"/>
          <w:spacing w:val="-4"/>
          <w:sz w:val="20"/>
          <w:szCs w:val="20"/>
          <w:highlight w:val="none"/>
        </w:rPr>
        <w:t>解除本协议，并要求乙方赔偿全部损失。</w:t>
      </w:r>
    </w:p>
    <w:p w14:paraId="551930DC">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70" w:firstLineChars="200"/>
        <w:jc w:val="both"/>
        <w:textAlignment w:val="auto"/>
        <w:outlineLvl w:val="9"/>
        <w:rPr>
          <w:rFonts w:hint="eastAsia" w:ascii="宋体" w:hAnsi="宋体" w:eastAsia="宋体" w:cs="宋体"/>
          <w:b/>
          <w:bCs/>
          <w:color w:val="auto"/>
          <w:spacing w:val="17"/>
          <w:sz w:val="20"/>
          <w:szCs w:val="20"/>
          <w:highlight w:val="none"/>
        </w:rPr>
      </w:pPr>
      <w:r>
        <w:rPr>
          <w:rFonts w:hint="eastAsia" w:ascii="宋体" w:hAnsi="宋体" w:eastAsia="宋体" w:cs="宋体"/>
          <w:b/>
          <w:bCs/>
          <w:color w:val="auto"/>
          <w:spacing w:val="17"/>
          <w:sz w:val="20"/>
          <w:szCs w:val="20"/>
          <w:highlight w:val="none"/>
        </w:rPr>
        <w:t>(</w:t>
      </w:r>
      <w:r>
        <w:rPr>
          <w:rFonts w:hint="eastAsia" w:ascii="宋体" w:hAnsi="宋体" w:eastAsia="宋体" w:cs="宋体"/>
          <w:b/>
          <w:bCs/>
          <w:color w:val="auto"/>
          <w:spacing w:val="17"/>
          <w:sz w:val="20"/>
          <w:szCs w:val="20"/>
          <w:highlight w:val="none"/>
          <w:lang w:val="en-US" w:eastAsia="zh-CN"/>
        </w:rPr>
        <w:t>三</w:t>
      </w:r>
      <w:r>
        <w:rPr>
          <w:rFonts w:hint="eastAsia" w:ascii="宋体" w:hAnsi="宋体" w:eastAsia="宋体" w:cs="宋体"/>
          <w:b/>
          <w:bCs/>
          <w:color w:val="auto"/>
          <w:spacing w:val="17"/>
          <w:sz w:val="20"/>
          <w:szCs w:val="20"/>
          <w:highlight w:val="none"/>
        </w:rPr>
        <w:t>)适用法律和纠纷解决条款</w:t>
      </w:r>
    </w:p>
    <w:p w14:paraId="242C9A38">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1</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rPr>
        <w:t>本合同的生效、解释和履行，适用中华人民共和国(不含港澳台地区)法律。</w:t>
      </w:r>
    </w:p>
    <w:p w14:paraId="59E7FB47">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2.</w:t>
      </w:r>
      <w:r>
        <w:rPr>
          <w:rFonts w:hint="eastAsia" w:ascii="宋体" w:hAnsi="宋体" w:eastAsia="宋体" w:cs="宋体"/>
          <w:color w:val="auto"/>
          <w:spacing w:val="8"/>
          <w:sz w:val="20"/>
          <w:szCs w:val="20"/>
          <w:highlight w:val="none"/>
        </w:rPr>
        <w:drawing>
          <wp:anchor distT="0" distB="0" distL="114300" distR="114300" simplePos="0" relativeHeight="251664384" behindDoc="0" locked="0" layoutInCell="1" allowOverlap="1">
            <wp:simplePos x="0" y="0"/>
            <wp:positionH relativeFrom="column">
              <wp:posOffset>12305665</wp:posOffset>
            </wp:positionH>
            <wp:positionV relativeFrom="paragraph">
              <wp:posOffset>1187450</wp:posOffset>
            </wp:positionV>
            <wp:extent cx="341630" cy="2769870"/>
            <wp:effectExtent l="0" t="0" r="1270" b="11430"/>
            <wp:wrapNone/>
            <wp:docPr id="9" name="IM 18"/>
            <wp:cNvGraphicFramePr/>
            <a:graphic xmlns:a="http://schemas.openxmlformats.org/drawingml/2006/main">
              <a:graphicData uri="http://schemas.openxmlformats.org/drawingml/2006/picture">
                <pic:pic xmlns:pic="http://schemas.openxmlformats.org/drawingml/2006/picture">
                  <pic:nvPicPr>
                    <pic:cNvPr id="9" name="IM 18"/>
                    <pic:cNvPicPr/>
                  </pic:nvPicPr>
                  <pic:blipFill>
                    <a:blip r:embed="rId12"/>
                    <a:stretch>
                      <a:fillRect/>
                    </a:stretch>
                  </pic:blipFill>
                  <pic:spPr>
                    <a:xfrm>
                      <a:off x="0" y="0"/>
                      <a:ext cx="341630" cy="2769870"/>
                    </a:xfrm>
                    <a:prstGeom prst="rect">
                      <a:avLst/>
                    </a:prstGeom>
                    <a:noFill/>
                    <a:ln>
                      <a:noFill/>
                    </a:ln>
                  </pic:spPr>
                </pic:pic>
              </a:graphicData>
            </a:graphic>
          </wp:anchor>
        </w:drawing>
      </w:r>
      <w:r>
        <w:rPr>
          <w:rFonts w:hint="eastAsia" w:ascii="宋体" w:hAnsi="宋体" w:eastAsia="宋体" w:cs="宋体"/>
          <w:color w:val="auto"/>
          <w:spacing w:val="8"/>
          <w:sz w:val="20"/>
          <w:szCs w:val="20"/>
          <w:highlight w:val="none"/>
        </w:rPr>
        <w:t>合作双方因履行本协议而发生的争议，应协商、调解解决。 协商、调解不成的，依法向甲方所在地人民法院起诉。</w:t>
      </w:r>
    </w:p>
    <w:p w14:paraId="20AE8EBF">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jc w:val="both"/>
        <w:textAlignment w:val="auto"/>
        <w:outlineLvl w:val="9"/>
        <w:rPr>
          <w:rFonts w:hint="eastAsia" w:ascii="宋体" w:hAnsi="宋体" w:eastAsia="宋体" w:cs="宋体"/>
          <w:b/>
          <w:bCs/>
          <w:color w:val="auto"/>
          <w:spacing w:val="64"/>
          <w:sz w:val="20"/>
          <w:szCs w:val="20"/>
          <w:highlight w:val="none"/>
        </w:rPr>
      </w:pPr>
    </w:p>
    <w:p w14:paraId="16A79005">
      <w:pPr>
        <w:keepNext w:val="0"/>
        <w:keepLines w:val="0"/>
        <w:pageBreakBefore w:val="0"/>
        <w:widowControl w:val="0"/>
        <w:kinsoku w:val="0"/>
        <w:wordWrap/>
        <w:overflowPunct/>
        <w:topLinePunct w:val="0"/>
        <w:autoSpaceDE w:val="0"/>
        <w:autoSpaceDN w:val="0"/>
        <w:bidi w:val="0"/>
        <w:adjustRightInd w:val="0"/>
        <w:snapToGrid w:val="0"/>
        <w:spacing w:line="240" w:lineRule="auto"/>
        <w:ind w:left="0" w:right="0" w:rightChars="0" w:firstLine="658" w:firstLineChars="200"/>
        <w:jc w:val="both"/>
        <w:textAlignment w:val="auto"/>
        <w:outlineLvl w:val="9"/>
        <w:rPr>
          <w:rFonts w:hint="eastAsia" w:ascii="宋体" w:hAnsi="宋体" w:eastAsia="宋体" w:cs="宋体"/>
          <w:color w:val="auto"/>
          <w:sz w:val="20"/>
          <w:szCs w:val="20"/>
          <w:highlight w:val="none"/>
        </w:rPr>
      </w:pPr>
      <w:r>
        <w:rPr>
          <w:rFonts w:hint="eastAsia" w:ascii="宋体" w:hAnsi="宋体" w:eastAsia="宋体" w:cs="宋体"/>
          <w:b/>
          <w:bCs/>
          <w:color w:val="auto"/>
          <w:spacing w:val="64"/>
          <w:sz w:val="20"/>
          <w:szCs w:val="20"/>
          <w:highlight w:val="none"/>
        </w:rPr>
        <w:t>第</w:t>
      </w:r>
      <w:r>
        <w:rPr>
          <w:rFonts w:hint="eastAsia" w:ascii="宋体" w:hAnsi="宋体" w:eastAsia="宋体" w:cs="宋体"/>
          <w:b/>
          <w:bCs/>
          <w:color w:val="auto"/>
          <w:spacing w:val="64"/>
          <w:sz w:val="20"/>
          <w:szCs w:val="20"/>
          <w:highlight w:val="none"/>
          <w:lang w:val="en-US" w:eastAsia="zh-CN"/>
        </w:rPr>
        <w:t>八</w:t>
      </w:r>
      <w:r>
        <w:rPr>
          <w:rFonts w:hint="eastAsia" w:ascii="宋体" w:hAnsi="宋体" w:eastAsia="宋体" w:cs="宋体"/>
          <w:b/>
          <w:bCs/>
          <w:color w:val="auto"/>
          <w:spacing w:val="64"/>
          <w:sz w:val="20"/>
          <w:szCs w:val="20"/>
          <w:highlight w:val="none"/>
        </w:rPr>
        <w:t>条</w:t>
      </w:r>
      <w:r>
        <w:rPr>
          <w:rFonts w:hint="eastAsia" w:ascii="宋体" w:hAnsi="宋体" w:eastAsia="宋体" w:cs="宋体"/>
          <w:b/>
          <w:bCs/>
          <w:color w:val="auto"/>
          <w:spacing w:val="64"/>
          <w:sz w:val="20"/>
          <w:szCs w:val="20"/>
          <w:highlight w:val="none"/>
          <w:lang w:val="en-US" w:eastAsia="zh-CN"/>
        </w:rPr>
        <w:t xml:space="preserve"> </w:t>
      </w:r>
      <w:r>
        <w:rPr>
          <w:rFonts w:hint="eastAsia" w:ascii="宋体" w:hAnsi="宋体" w:eastAsia="宋体" w:cs="宋体"/>
          <w:b/>
          <w:bCs/>
          <w:color w:val="auto"/>
          <w:spacing w:val="64"/>
          <w:sz w:val="20"/>
          <w:szCs w:val="20"/>
          <w:highlight w:val="none"/>
        </w:rPr>
        <w:t>其他</w:t>
      </w:r>
    </w:p>
    <w:p w14:paraId="08B310AF">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1.</w:t>
      </w:r>
      <w:r>
        <w:rPr>
          <w:rFonts w:hint="eastAsia" w:ascii="宋体" w:hAnsi="宋体" w:eastAsia="宋体" w:cs="宋体"/>
          <w:color w:val="auto"/>
          <w:spacing w:val="8"/>
          <w:sz w:val="20"/>
          <w:szCs w:val="20"/>
          <w:highlight w:val="none"/>
        </w:rPr>
        <w:t>本协议一式</w:t>
      </w:r>
      <w:r>
        <w:rPr>
          <w:rFonts w:hint="eastAsia" w:ascii="宋体" w:hAnsi="宋体" w:eastAsia="宋体" w:cs="宋体"/>
          <w:color w:val="auto"/>
          <w:spacing w:val="8"/>
          <w:sz w:val="20"/>
          <w:szCs w:val="20"/>
          <w:highlight w:val="none"/>
          <w:lang w:val="en-US" w:eastAsia="zh-CN"/>
        </w:rPr>
        <w:t>贰</w:t>
      </w:r>
      <w:r>
        <w:rPr>
          <w:rFonts w:hint="eastAsia" w:ascii="宋体" w:hAnsi="宋体" w:eastAsia="宋体" w:cs="宋体"/>
          <w:color w:val="auto"/>
          <w:spacing w:val="8"/>
          <w:sz w:val="20"/>
          <w:szCs w:val="20"/>
          <w:highlight w:val="none"/>
        </w:rPr>
        <w:t>份，经合同各方法定代表人或委托代理人签字并盖章后生效；本合同一式</w:t>
      </w:r>
      <w:r>
        <w:rPr>
          <w:rFonts w:hint="eastAsia" w:ascii="宋体" w:hAnsi="宋体" w:eastAsia="宋体" w:cs="宋体"/>
          <w:color w:val="auto"/>
          <w:spacing w:val="8"/>
          <w:sz w:val="20"/>
          <w:szCs w:val="20"/>
          <w:highlight w:val="none"/>
          <w:lang w:val="en-US" w:eastAsia="zh-CN"/>
        </w:rPr>
        <w:t>贰</w:t>
      </w:r>
      <w:r>
        <w:rPr>
          <w:rFonts w:hint="eastAsia" w:ascii="宋体" w:hAnsi="宋体" w:eastAsia="宋体" w:cs="宋体"/>
          <w:color w:val="auto"/>
          <w:spacing w:val="8"/>
          <w:sz w:val="20"/>
          <w:szCs w:val="20"/>
          <w:highlight w:val="none"/>
        </w:rPr>
        <w:t>份，甲乙</w:t>
      </w:r>
      <w:r>
        <w:rPr>
          <w:rFonts w:hint="eastAsia" w:ascii="宋体" w:hAnsi="宋体" w:eastAsia="宋体" w:cs="宋体"/>
          <w:color w:val="auto"/>
          <w:spacing w:val="8"/>
          <w:sz w:val="20"/>
          <w:szCs w:val="20"/>
          <w:highlight w:val="none"/>
          <w:lang w:val="en-US" w:eastAsia="zh-CN"/>
        </w:rPr>
        <w:t>双</w:t>
      </w:r>
      <w:r>
        <w:rPr>
          <w:rFonts w:hint="eastAsia" w:ascii="宋体" w:hAnsi="宋体" w:eastAsia="宋体" w:cs="宋体"/>
          <w:color w:val="auto"/>
          <w:spacing w:val="8"/>
          <w:sz w:val="20"/>
          <w:szCs w:val="20"/>
          <w:highlight w:val="none"/>
        </w:rPr>
        <w:t>方</w:t>
      </w:r>
      <w:r>
        <w:rPr>
          <w:rFonts w:hint="eastAsia" w:ascii="宋体" w:hAnsi="宋体" w:eastAsia="宋体" w:cs="宋体"/>
          <w:color w:val="auto"/>
          <w:spacing w:val="8"/>
          <w:sz w:val="20"/>
          <w:szCs w:val="20"/>
          <w:highlight w:val="none"/>
          <w:lang w:val="en-US" w:eastAsia="zh-CN"/>
        </w:rPr>
        <w:t>各</w:t>
      </w:r>
      <w:r>
        <w:rPr>
          <w:rFonts w:hint="eastAsia" w:ascii="宋体" w:hAnsi="宋体" w:eastAsia="宋体" w:cs="宋体"/>
          <w:color w:val="auto"/>
          <w:spacing w:val="8"/>
          <w:sz w:val="20"/>
          <w:szCs w:val="20"/>
          <w:highlight w:val="none"/>
        </w:rPr>
        <w:t>执</w:t>
      </w:r>
      <w:r>
        <w:rPr>
          <w:rFonts w:hint="eastAsia" w:ascii="宋体" w:hAnsi="宋体" w:eastAsia="宋体" w:cs="宋体"/>
          <w:color w:val="auto"/>
          <w:spacing w:val="8"/>
          <w:sz w:val="20"/>
          <w:szCs w:val="20"/>
          <w:highlight w:val="none"/>
          <w:lang w:val="en-US" w:eastAsia="zh-CN"/>
        </w:rPr>
        <w:t>壹</w:t>
      </w:r>
      <w:r>
        <w:rPr>
          <w:rFonts w:hint="eastAsia" w:ascii="宋体" w:hAnsi="宋体" w:eastAsia="宋体" w:cs="宋体"/>
          <w:color w:val="auto"/>
          <w:spacing w:val="8"/>
          <w:sz w:val="20"/>
          <w:szCs w:val="20"/>
          <w:highlight w:val="none"/>
        </w:rPr>
        <w:t>份，具有同等法律效力。</w:t>
      </w:r>
    </w:p>
    <w:p w14:paraId="61F6E95F">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2.</w:t>
      </w:r>
      <w:r>
        <w:rPr>
          <w:rFonts w:hint="eastAsia" w:ascii="宋体" w:hAnsi="宋体" w:eastAsia="宋体" w:cs="宋体"/>
          <w:color w:val="auto"/>
          <w:spacing w:val="8"/>
          <w:sz w:val="20"/>
          <w:szCs w:val="20"/>
          <w:highlight w:val="none"/>
        </w:rPr>
        <w:t>本协议未尽事宜，双方另行签订补充协议加以约定并作为本协议的附件。协议附件与本协议具有同等法律效力。</w:t>
      </w:r>
    </w:p>
    <w:p w14:paraId="5C72E4BE">
      <w:pPr>
        <w:keepNext w:val="0"/>
        <w:keepLines w:val="0"/>
        <w:pageBreakBefore w:val="0"/>
        <w:widowControl w:val="0"/>
        <w:kinsoku w:val="0"/>
        <w:wordWrap/>
        <w:overflowPunct/>
        <w:topLinePunct w:val="0"/>
        <w:autoSpaceDE w:val="0"/>
        <w:autoSpaceDN w:val="0"/>
        <w:bidi w:val="0"/>
        <w:adjustRightInd w:val="0"/>
        <w:snapToGrid w:val="0"/>
        <w:spacing w:line="240" w:lineRule="auto"/>
        <w:ind w:right="0" w:rightChars="0" w:firstLine="432" w:firstLineChars="200"/>
        <w:jc w:val="both"/>
        <w:textAlignment w:val="auto"/>
        <w:outlineLvl w:val="9"/>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3.</w:t>
      </w:r>
      <w:r>
        <w:rPr>
          <w:rFonts w:hint="eastAsia" w:ascii="宋体" w:hAnsi="宋体" w:eastAsia="宋体" w:cs="宋体"/>
          <w:color w:val="auto"/>
          <w:spacing w:val="8"/>
          <w:sz w:val="20"/>
          <w:szCs w:val="20"/>
          <w:highlight w:val="none"/>
        </w:rPr>
        <w:t>甲乙双方因执行本协议或与本协议有关的一切通知都必须以书面形式送达对方，以特快专递等邮寄方式的邮寄地址以本协议附件中的地址为准，通知日期即为邮件寄出日期并以邮戳为准。</w:t>
      </w:r>
    </w:p>
    <w:p w14:paraId="1940EB8E">
      <w:pPr>
        <w:pStyle w:val="10"/>
        <w:keepNext w:val="0"/>
        <w:keepLines w:val="0"/>
        <w:pageBreakBefore w:val="0"/>
        <w:widowControl w:val="0"/>
        <w:wordWrap/>
        <w:overflowPunct/>
        <w:topLinePunct w:val="0"/>
        <w:bidi w:val="0"/>
        <w:snapToGrid/>
        <w:spacing w:line="240" w:lineRule="auto"/>
        <w:ind w:firstLine="402" w:firstLineChars="200"/>
        <w:textAlignment w:val="auto"/>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【以下无正文】</w:t>
      </w:r>
    </w:p>
    <w:p w14:paraId="7F04BF56">
      <w:pPr>
        <w:keepNext w:val="0"/>
        <w:keepLines w:val="0"/>
        <w:pageBreakBefore w:val="0"/>
        <w:wordWrap/>
        <w:overflowPunct/>
        <w:topLinePunct w:val="0"/>
        <w:bidi w:val="0"/>
        <w:spacing w:after="157" w:afterLines="50" w:line="240" w:lineRule="auto"/>
        <w:rPr>
          <w:rFonts w:hint="eastAsia" w:ascii="宋体" w:hAnsi="宋体" w:eastAsia="宋体" w:cs="宋体"/>
          <w:color w:val="auto"/>
          <w:sz w:val="20"/>
          <w:szCs w:val="20"/>
          <w:highlight w:val="none"/>
        </w:rPr>
      </w:pPr>
    </w:p>
    <w:p w14:paraId="0A7EF286">
      <w:pPr>
        <w:spacing w:line="240" w:lineRule="auto"/>
        <w:rPr>
          <w:rFonts w:hint="eastAsia" w:ascii="宋体" w:hAnsi="宋体" w:eastAsia="宋体" w:cs="宋体"/>
          <w:color w:val="auto"/>
          <w:sz w:val="20"/>
          <w:szCs w:val="20"/>
          <w:highlight w:val="none"/>
        </w:rPr>
      </w:pPr>
    </w:p>
    <w:p w14:paraId="34CBC6B5">
      <w:pPr>
        <w:spacing w:line="240" w:lineRule="auto"/>
        <w:rPr>
          <w:rFonts w:hint="eastAsia" w:ascii="宋体" w:hAnsi="宋体" w:eastAsia="宋体" w:cs="宋体"/>
          <w:color w:val="auto"/>
          <w:sz w:val="20"/>
          <w:szCs w:val="20"/>
          <w:highlight w:val="none"/>
        </w:rPr>
      </w:pPr>
    </w:p>
    <w:p w14:paraId="3E94FFC8">
      <w:pPr>
        <w:spacing w:line="240" w:lineRule="auto"/>
        <w:rPr>
          <w:rFonts w:hint="eastAsia" w:ascii="宋体" w:hAnsi="宋体" w:eastAsia="宋体" w:cs="宋体"/>
          <w:color w:val="auto"/>
          <w:sz w:val="20"/>
          <w:szCs w:val="20"/>
          <w:highlight w:val="none"/>
        </w:rPr>
      </w:pPr>
    </w:p>
    <w:tbl>
      <w:tblPr>
        <w:tblStyle w:val="20"/>
        <w:tblW w:w="9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0"/>
        <w:gridCol w:w="4650"/>
      </w:tblGrid>
      <w:tr w14:paraId="6B625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4650" w:type="dxa"/>
          </w:tcPr>
          <w:p w14:paraId="71390604">
            <w:pPr>
              <w:spacing w:line="240" w:lineRule="auto"/>
              <w:ind w:left="1560" w:hanging="1300" w:hangingChars="650"/>
              <w:rPr>
                <w:rFonts w:hint="eastAsia" w:ascii="宋体" w:hAnsi="宋体" w:eastAsia="宋体" w:cs="宋体"/>
                <w:sz w:val="20"/>
                <w:szCs w:val="20"/>
                <w:highlight w:val="none"/>
              </w:rPr>
            </w:pPr>
            <w:r>
              <w:rPr>
                <w:rFonts w:hint="eastAsia" w:ascii="宋体" w:hAnsi="宋体" w:eastAsia="宋体" w:cs="宋体"/>
                <w:sz w:val="20"/>
                <w:szCs w:val="20"/>
                <w:highlight w:val="none"/>
              </w:rPr>
              <w:t>甲方（盖章）：</w:t>
            </w:r>
          </w:p>
        </w:tc>
        <w:tc>
          <w:tcPr>
            <w:tcW w:w="4650" w:type="dxa"/>
          </w:tcPr>
          <w:p w14:paraId="33A8BCDE">
            <w:pPr>
              <w:spacing w:line="240" w:lineRule="auto"/>
              <w:ind w:left="1560" w:hanging="1300" w:hangingChars="650"/>
              <w:rPr>
                <w:rFonts w:hint="eastAsia" w:ascii="宋体" w:hAnsi="宋体" w:eastAsia="宋体" w:cs="宋体"/>
                <w:sz w:val="20"/>
                <w:szCs w:val="20"/>
                <w:highlight w:val="none"/>
              </w:rPr>
            </w:pPr>
            <w:r>
              <w:rPr>
                <w:rFonts w:hint="eastAsia" w:ascii="宋体" w:hAnsi="宋体" w:eastAsia="宋体" w:cs="宋体"/>
                <w:sz w:val="20"/>
                <w:szCs w:val="20"/>
                <w:highlight w:val="none"/>
              </w:rPr>
              <w:t>乙方（盖章）：</w:t>
            </w:r>
          </w:p>
        </w:tc>
      </w:tr>
      <w:tr w14:paraId="074CD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4650" w:type="dxa"/>
          </w:tcPr>
          <w:p w14:paraId="377FA765">
            <w:pPr>
              <w:spacing w:line="240" w:lineRule="auto"/>
              <w:ind w:left="1560" w:hanging="1300" w:hangingChars="650"/>
              <w:rPr>
                <w:rFonts w:hint="eastAsia" w:ascii="宋体" w:hAnsi="宋体" w:eastAsia="宋体" w:cs="宋体"/>
                <w:sz w:val="20"/>
                <w:szCs w:val="20"/>
                <w:highlight w:val="none"/>
              </w:rPr>
            </w:pPr>
            <w:r>
              <w:rPr>
                <w:rFonts w:hint="eastAsia" w:ascii="宋体" w:hAnsi="宋体" w:eastAsia="宋体" w:cs="宋体"/>
                <w:sz w:val="20"/>
                <w:szCs w:val="20"/>
                <w:highlight w:val="none"/>
              </w:rPr>
              <w:t xml:space="preserve">授权代表人（签字）：      </w:t>
            </w:r>
          </w:p>
        </w:tc>
        <w:tc>
          <w:tcPr>
            <w:tcW w:w="4650" w:type="dxa"/>
          </w:tcPr>
          <w:p w14:paraId="3745AEB9">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 xml:space="preserve">授权代表人（签字）：      </w:t>
            </w:r>
          </w:p>
        </w:tc>
      </w:tr>
      <w:tr w14:paraId="37EA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4650" w:type="dxa"/>
          </w:tcPr>
          <w:p w14:paraId="29143429">
            <w:pPr>
              <w:spacing w:line="240" w:lineRule="auto"/>
              <w:ind w:left="1560" w:hanging="1300" w:hangingChars="650"/>
              <w:rPr>
                <w:rFonts w:hint="eastAsia" w:ascii="宋体" w:hAnsi="宋体" w:eastAsia="宋体" w:cs="宋体"/>
                <w:sz w:val="20"/>
                <w:szCs w:val="20"/>
                <w:highlight w:val="none"/>
              </w:rPr>
            </w:pPr>
            <w:r>
              <w:rPr>
                <w:rFonts w:hint="eastAsia" w:ascii="宋体" w:hAnsi="宋体" w:eastAsia="宋体" w:cs="宋体"/>
                <w:sz w:val="20"/>
                <w:szCs w:val="20"/>
                <w:highlight w:val="none"/>
              </w:rPr>
              <w:t>签定日期：          月    日</w:t>
            </w:r>
          </w:p>
        </w:tc>
        <w:tc>
          <w:tcPr>
            <w:tcW w:w="4650" w:type="dxa"/>
          </w:tcPr>
          <w:p w14:paraId="77B8A614">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签定日期：      年    月    日</w:t>
            </w:r>
          </w:p>
          <w:p w14:paraId="0721D4BA">
            <w:pPr>
              <w:pStyle w:val="6"/>
              <w:spacing w:line="240" w:lineRule="auto"/>
              <w:rPr>
                <w:rFonts w:hint="eastAsia" w:ascii="宋体" w:hAnsi="宋体" w:eastAsia="宋体" w:cs="宋体"/>
                <w:sz w:val="20"/>
                <w:szCs w:val="20"/>
                <w:highlight w:val="none"/>
              </w:rPr>
            </w:pPr>
          </w:p>
        </w:tc>
      </w:tr>
    </w:tbl>
    <w:p w14:paraId="69F505F6">
      <w:pPr>
        <w:pStyle w:val="14"/>
        <w:spacing w:before="0" w:beforeAutospacing="0" w:after="0" w:afterAutospacing="0" w:line="240" w:lineRule="auto"/>
        <w:rPr>
          <w:rFonts w:hint="eastAsia" w:ascii="宋体" w:hAnsi="宋体" w:eastAsia="宋体" w:cs="宋体"/>
          <w:color w:val="000000"/>
          <w:sz w:val="20"/>
          <w:szCs w:val="20"/>
          <w:highlight w:val="none"/>
        </w:rPr>
      </w:pPr>
    </w:p>
    <w:sectPr>
      <w:headerReference r:id="rId6" w:type="default"/>
      <w:pgSz w:w="11906" w:h="16838"/>
      <w:pgMar w:top="1418" w:right="851"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Eras Bold ITC">
    <w:altName w:val="Yu Gothic UI Semibold"/>
    <w:panose1 w:val="020B0907030504020204"/>
    <w:charset w:val="00"/>
    <w:family w:val="swiss"/>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Yu Gothic UI Semibold">
    <w:panose1 w:val="020B07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D68A5">
    <w:pPr>
      <w:pStyle w:val="11"/>
    </w:pPr>
    <w:r>
      <mc:AlternateContent>
        <mc:Choice Requires="wps">
          <w:drawing>
            <wp:anchor distT="45720" distB="45720" distL="114300" distR="114300" simplePos="0" relativeHeight="251660288" behindDoc="0" locked="0" layoutInCell="1" allowOverlap="1">
              <wp:simplePos x="0" y="0"/>
              <wp:positionH relativeFrom="column">
                <wp:posOffset>-5080</wp:posOffset>
              </wp:positionH>
              <wp:positionV relativeFrom="paragraph">
                <wp:posOffset>-112395</wp:posOffset>
              </wp:positionV>
              <wp:extent cx="3636010" cy="782955"/>
              <wp:effectExtent l="0" t="0" r="2540" b="17145"/>
              <wp:wrapSquare wrapText="bothSides"/>
              <wp:docPr id="8" name="文本框 8"/>
              <wp:cNvGraphicFramePr/>
              <a:graphic xmlns:a="http://schemas.openxmlformats.org/drawingml/2006/main">
                <a:graphicData uri="http://schemas.microsoft.com/office/word/2010/wordprocessingShape">
                  <wps:wsp>
                    <wps:cNvSpPr txBox="1"/>
                    <wps:spPr>
                      <a:xfrm>
                        <a:off x="0" y="0"/>
                        <a:ext cx="3636010" cy="782955"/>
                      </a:xfrm>
                      <a:prstGeom prst="rect">
                        <a:avLst/>
                      </a:prstGeom>
                      <a:solidFill>
                        <a:srgbClr val="FFFFFF"/>
                      </a:solidFill>
                      <a:ln>
                        <a:noFill/>
                      </a:ln>
                      <a:effectLst/>
                    </wps:spPr>
                    <wps:txbx>
                      <w:txbxContent>
                        <w:p w14:paraId="16ADFC77">
                          <w:pPr>
                            <w:widowControl/>
                            <w:tabs>
                              <w:tab w:val="left" w:pos="720"/>
                            </w:tabs>
                            <w:ind w:left="720" w:hanging="720"/>
                            <w:jc w:val="left"/>
                            <w:rPr>
                              <w:rFonts w:ascii="Arial" w:hAnsi="宋体" w:cs="Arial"/>
                              <w:szCs w:val="21"/>
                            </w:rPr>
                          </w:pPr>
                          <w:r>
                            <w:rPr>
                              <w:rFonts w:ascii="Arial" w:hAnsi="宋体" w:cs="Arial"/>
                              <w:szCs w:val="21"/>
                            </w:rPr>
                            <w:t>地址：</w:t>
                          </w:r>
                          <w:r>
                            <w:rPr>
                              <w:rFonts w:hint="eastAsia" w:ascii="Arial" w:hAnsi="宋体" w:cs="Arial"/>
                              <w:szCs w:val="21"/>
                            </w:rPr>
                            <w:t>中国广州市南沙区丰泽东路</w:t>
                          </w:r>
                          <w:r>
                            <w:rPr>
                              <w:rFonts w:ascii="Arial" w:hAnsi="宋体" w:cs="Arial"/>
                              <w:szCs w:val="21"/>
                            </w:rPr>
                            <w:t>106号</w:t>
                          </w:r>
                        </w:p>
                        <w:p w14:paraId="2BBB317B">
                          <w:pPr>
                            <w:widowControl/>
                            <w:tabs>
                              <w:tab w:val="left" w:pos="720"/>
                            </w:tabs>
                            <w:ind w:left="720" w:hanging="720"/>
                            <w:jc w:val="left"/>
                            <w:rPr>
                              <w:rFonts w:ascii="Arial" w:hAnsi="Arial" w:cs="Arial"/>
                              <w:kern w:val="0"/>
                              <w:szCs w:val="21"/>
                            </w:rPr>
                          </w:pPr>
                          <w:r>
                            <w:rPr>
                              <w:rFonts w:ascii="Arial" w:hAnsi="宋体" w:cs="Arial"/>
                              <w:szCs w:val="21"/>
                            </w:rPr>
                            <w:t>Add：No.106 Fengze East Road,GZ Nansha District</w:t>
                          </w:r>
                          <w:r>
                            <w:rPr>
                              <w:rFonts w:hint="eastAsia" w:ascii="Arial" w:hAnsi="宋体" w:cs="Arial"/>
                              <w:szCs w:val="21"/>
                            </w:rPr>
                            <w:t>,</w:t>
                          </w:r>
                          <w:r>
                            <w:rPr>
                              <w:rFonts w:ascii="Arial" w:hAnsi="宋体" w:cs="Arial"/>
                              <w:szCs w:val="21"/>
                            </w:rPr>
                            <w:t>China</w:t>
                          </w:r>
                        </w:p>
                        <w:p w14:paraId="476603C4">
                          <w:pPr>
                            <w:widowControl/>
                            <w:tabs>
                              <w:tab w:val="left" w:pos="720"/>
                            </w:tabs>
                            <w:ind w:left="720" w:hanging="720"/>
                            <w:jc w:val="left"/>
                            <w:rPr>
                              <w:rFonts w:ascii="Arial" w:hAnsi="Arial" w:cs="Arial"/>
                              <w:szCs w:val="21"/>
                            </w:rPr>
                          </w:pPr>
                          <w:r>
                            <w:rPr>
                              <w:rFonts w:ascii="Arial" w:hAnsi="宋体" w:cs="Arial"/>
                              <w:szCs w:val="21"/>
                            </w:rPr>
                            <w:t>网</w:t>
                          </w:r>
                          <w:r>
                            <w:rPr>
                              <w:rFonts w:hint="eastAsia" w:ascii="Arial" w:hAnsi="宋体" w:cs="Arial"/>
                              <w:szCs w:val="21"/>
                            </w:rPr>
                            <w:t>站/</w:t>
                          </w:r>
                          <w:r>
                            <w:rPr>
                              <w:rFonts w:ascii="Arial" w:hAnsi="宋体" w:cs="Arial"/>
                              <w:szCs w:val="21"/>
                            </w:rPr>
                            <w:t>Web：</w:t>
                          </w:r>
                          <w:r>
                            <w:fldChar w:fldCharType="begin"/>
                          </w:r>
                          <w:r>
                            <w:instrText xml:space="preserve"> HYPERLINK "http://www.huayinlab.com" </w:instrText>
                          </w:r>
                          <w:r>
                            <w:fldChar w:fldCharType="separate"/>
                          </w:r>
                          <w:r>
                            <w:rPr>
                              <w:rFonts w:ascii="Arial" w:hAnsi="Arial" w:cs="Arial"/>
                              <w:szCs w:val="21"/>
                            </w:rPr>
                            <w:t>www.huayinlab.com</w:t>
                          </w:r>
                          <w:r>
                            <w:rPr>
                              <w:rFonts w:ascii="Arial" w:hAnsi="Arial" w:cs="Arial"/>
                              <w:szCs w:val="21"/>
                            </w:rPr>
                            <w:fldChar w:fldCharType="end"/>
                          </w:r>
                        </w:p>
                        <w:p w14:paraId="2FAB4601">
                          <w:pPr>
                            <w:widowControl/>
                            <w:tabs>
                              <w:tab w:val="left" w:pos="720"/>
                            </w:tabs>
                            <w:ind w:left="720" w:hanging="720"/>
                            <w:jc w:val="left"/>
                          </w:pPr>
                          <w:r>
                            <w:rPr>
                              <w:rFonts w:hint="eastAsia" w:ascii="Arial" w:hAnsi="宋体" w:cs="Arial"/>
                              <w:szCs w:val="21"/>
                            </w:rPr>
                            <w:t>电话/</w:t>
                          </w:r>
                          <w:r>
                            <w:rPr>
                              <w:rFonts w:ascii="Arial" w:hAnsi="宋体" w:cs="Arial"/>
                              <w:szCs w:val="21"/>
                            </w:rPr>
                            <w:t>Tel</w:t>
                          </w:r>
                          <w:r>
                            <w:rPr>
                              <w:rFonts w:hint="eastAsia" w:ascii="Arial" w:hAnsi="宋体" w:cs="Arial"/>
                              <w:szCs w:val="21"/>
                            </w:rPr>
                            <w:t>：400-888-1223</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0.4pt;margin-top:-8.85pt;height:61.65pt;width:286.3pt;mso-wrap-distance-bottom:3.6pt;mso-wrap-distance-left:9pt;mso-wrap-distance-right:9pt;mso-wrap-distance-top:3.6pt;z-index:251660288;mso-width-relative:page;mso-height-relative:margin;mso-height-percent:200;" fillcolor="#FFFFFF" filled="t" stroked="f" coordsize="21600,21600" o:gfxdata="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ZM+81wAAAAkBAAAPAAAAAAAAAAEAIAAAACIA&#10;AABkcnMvZG93bnJldi54bWxQSwECFAAUAAAACACHTuJAQ2x2etEBAACfAwAADgAAAAAAAAABACAA&#10;AAAmAQAAZHJzL2Uyb0RvYy54bWxQSwUGAAAAAAYABgBZAQAAaQUAAAAA&#10;">
              <v:fill on="t" focussize="0,0"/>
              <v:stroke on="f"/>
              <v:imagedata o:title=""/>
              <o:lock v:ext="edit" aspectratio="f"/>
              <v:textbox style="mso-fit-shape-to-text:t;">
                <w:txbxContent>
                  <w:p w14:paraId="16ADFC77">
                    <w:pPr>
                      <w:widowControl/>
                      <w:tabs>
                        <w:tab w:val="left" w:pos="720"/>
                      </w:tabs>
                      <w:ind w:left="720" w:hanging="720"/>
                      <w:jc w:val="left"/>
                      <w:rPr>
                        <w:rFonts w:ascii="Arial" w:hAnsi="宋体" w:cs="Arial"/>
                        <w:szCs w:val="21"/>
                      </w:rPr>
                    </w:pPr>
                    <w:r>
                      <w:rPr>
                        <w:rFonts w:ascii="Arial" w:hAnsi="宋体" w:cs="Arial"/>
                        <w:szCs w:val="21"/>
                      </w:rPr>
                      <w:t>地址：</w:t>
                    </w:r>
                    <w:r>
                      <w:rPr>
                        <w:rFonts w:hint="eastAsia" w:ascii="Arial" w:hAnsi="宋体" w:cs="Arial"/>
                        <w:szCs w:val="21"/>
                      </w:rPr>
                      <w:t>中国广州市南沙区丰泽东路</w:t>
                    </w:r>
                    <w:r>
                      <w:rPr>
                        <w:rFonts w:ascii="Arial" w:hAnsi="宋体" w:cs="Arial"/>
                        <w:szCs w:val="21"/>
                      </w:rPr>
                      <w:t>106号</w:t>
                    </w:r>
                  </w:p>
                  <w:p w14:paraId="2BBB317B">
                    <w:pPr>
                      <w:widowControl/>
                      <w:tabs>
                        <w:tab w:val="left" w:pos="720"/>
                      </w:tabs>
                      <w:ind w:left="720" w:hanging="720"/>
                      <w:jc w:val="left"/>
                      <w:rPr>
                        <w:rFonts w:ascii="Arial" w:hAnsi="Arial" w:cs="Arial"/>
                        <w:kern w:val="0"/>
                        <w:szCs w:val="21"/>
                      </w:rPr>
                    </w:pPr>
                    <w:r>
                      <w:rPr>
                        <w:rFonts w:ascii="Arial" w:hAnsi="宋体" w:cs="Arial"/>
                        <w:szCs w:val="21"/>
                      </w:rPr>
                      <w:t>Add：No.106 Fengze East Road,GZ Nansha District</w:t>
                    </w:r>
                    <w:r>
                      <w:rPr>
                        <w:rFonts w:hint="eastAsia" w:ascii="Arial" w:hAnsi="宋体" w:cs="Arial"/>
                        <w:szCs w:val="21"/>
                      </w:rPr>
                      <w:t>,</w:t>
                    </w:r>
                    <w:r>
                      <w:rPr>
                        <w:rFonts w:ascii="Arial" w:hAnsi="宋体" w:cs="Arial"/>
                        <w:szCs w:val="21"/>
                      </w:rPr>
                      <w:t>China</w:t>
                    </w:r>
                  </w:p>
                  <w:p w14:paraId="476603C4">
                    <w:pPr>
                      <w:widowControl/>
                      <w:tabs>
                        <w:tab w:val="left" w:pos="720"/>
                      </w:tabs>
                      <w:ind w:left="720" w:hanging="720"/>
                      <w:jc w:val="left"/>
                      <w:rPr>
                        <w:rFonts w:ascii="Arial" w:hAnsi="Arial" w:cs="Arial"/>
                        <w:szCs w:val="21"/>
                      </w:rPr>
                    </w:pPr>
                    <w:r>
                      <w:rPr>
                        <w:rFonts w:ascii="Arial" w:hAnsi="宋体" w:cs="Arial"/>
                        <w:szCs w:val="21"/>
                      </w:rPr>
                      <w:t>网</w:t>
                    </w:r>
                    <w:r>
                      <w:rPr>
                        <w:rFonts w:hint="eastAsia" w:ascii="Arial" w:hAnsi="宋体" w:cs="Arial"/>
                        <w:szCs w:val="21"/>
                      </w:rPr>
                      <w:t>站/</w:t>
                    </w:r>
                    <w:r>
                      <w:rPr>
                        <w:rFonts w:ascii="Arial" w:hAnsi="宋体" w:cs="Arial"/>
                        <w:szCs w:val="21"/>
                      </w:rPr>
                      <w:t>Web：</w:t>
                    </w:r>
                    <w:r>
                      <w:fldChar w:fldCharType="begin"/>
                    </w:r>
                    <w:r>
                      <w:instrText xml:space="preserve"> HYPERLINK "http://www.huayinlab.com" </w:instrText>
                    </w:r>
                    <w:r>
                      <w:fldChar w:fldCharType="separate"/>
                    </w:r>
                    <w:r>
                      <w:rPr>
                        <w:rFonts w:ascii="Arial" w:hAnsi="Arial" w:cs="Arial"/>
                        <w:szCs w:val="21"/>
                      </w:rPr>
                      <w:t>www.huayinlab.com</w:t>
                    </w:r>
                    <w:r>
                      <w:rPr>
                        <w:rFonts w:ascii="Arial" w:hAnsi="Arial" w:cs="Arial"/>
                        <w:szCs w:val="21"/>
                      </w:rPr>
                      <w:fldChar w:fldCharType="end"/>
                    </w:r>
                  </w:p>
                  <w:p w14:paraId="2FAB4601">
                    <w:pPr>
                      <w:widowControl/>
                      <w:tabs>
                        <w:tab w:val="left" w:pos="720"/>
                      </w:tabs>
                      <w:ind w:left="720" w:hanging="720"/>
                      <w:jc w:val="left"/>
                    </w:pPr>
                    <w:r>
                      <w:rPr>
                        <w:rFonts w:hint="eastAsia" w:ascii="Arial" w:hAnsi="宋体" w:cs="Arial"/>
                        <w:szCs w:val="21"/>
                      </w:rPr>
                      <w:t>电话/</w:t>
                    </w:r>
                    <w:r>
                      <w:rPr>
                        <w:rFonts w:ascii="Arial" w:hAnsi="宋体" w:cs="Arial"/>
                        <w:szCs w:val="21"/>
                      </w:rPr>
                      <w:t>Tel</w:t>
                    </w:r>
                    <w:r>
                      <w:rPr>
                        <w:rFonts w:hint="eastAsia" w:ascii="Arial" w:hAnsi="宋体" w:cs="Arial"/>
                        <w:szCs w:val="21"/>
                      </w:rPr>
                      <w:t>：400-888-1223</w:t>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14B65">
    <w:pPr>
      <w:pStyle w:val="12"/>
      <w:jc w:val="both"/>
      <w:rPr>
        <w:rFonts w:ascii="Eras Bold ITC" w:hAnsi="Eras Bold ITC"/>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58FF">
    <w:pPr>
      <w:pStyle w:val="12"/>
      <w:pBdr>
        <w:bottom w:val="none" w:color="auto" w:sz="0" w:space="0"/>
      </w:pBdr>
      <w:jc w:val="left"/>
    </w:pPr>
    <w:r>
      <mc:AlternateContent>
        <mc:Choice Requires="wps">
          <w:drawing>
            <wp:anchor distT="45720" distB="45720" distL="114300" distR="114300" simplePos="0" relativeHeight="251661312" behindDoc="0" locked="0" layoutInCell="1" allowOverlap="1">
              <wp:simplePos x="0" y="0"/>
              <wp:positionH relativeFrom="column">
                <wp:posOffset>3395345</wp:posOffset>
              </wp:positionH>
              <wp:positionV relativeFrom="paragraph">
                <wp:posOffset>116840</wp:posOffset>
              </wp:positionV>
              <wp:extent cx="2298065" cy="340360"/>
              <wp:effectExtent l="4445" t="4445" r="21590" b="17145"/>
              <wp:wrapSquare wrapText="bothSides"/>
              <wp:docPr id="3" name="文本框 3"/>
              <wp:cNvGraphicFramePr/>
              <a:graphic xmlns:a="http://schemas.openxmlformats.org/drawingml/2006/main">
                <a:graphicData uri="http://schemas.microsoft.com/office/word/2010/wordprocessingShape">
                  <wps:wsp>
                    <wps:cNvSpPr txBox="1"/>
                    <wps:spPr>
                      <a:xfrm>
                        <a:off x="0" y="0"/>
                        <a:ext cx="2298065" cy="34036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E9D6164">
                          <w:pPr>
                            <w:wordWrap w:val="0"/>
                            <w:jc w:val="right"/>
                          </w:pPr>
                          <w:r>
                            <w:rPr>
                              <w:rFonts w:hint="eastAsia"/>
                              <w:sz w:val="22"/>
                            </w:rPr>
                            <w:t xml:space="preserve">合同编号：       </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67.35pt;margin-top:9.2pt;height:26.8pt;width:180.95pt;mso-wrap-distance-bottom:3.6pt;mso-wrap-distance-left:9pt;mso-wrap-distance-right:9pt;mso-wrap-distance-top:3.6pt;z-index:251661312;mso-width-relative:page;mso-height-relative:margin;mso-height-percent:200;" fillcolor="#FFFFFF" filled="t" stroked="t" coordsize="21600,21600" o:gfxdata="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Kaw8naAAAA&#10;CQEAAA8AAAAAAAAAAQAgAAAAIgAAAGRycy9kb3ducmV2LnhtbFBLAQIUABQAAAAIAIdO4kBk8kaQ&#10;GwIAAF4EAAAOAAAAAAAAAAEAIAAAACkBAABkcnMvZTJvRG9jLnhtbFBLBQYAAAAABgAGAFkBAAC2&#10;BQAAAAA=&#10;">
              <v:fill on="t" focussize="0,0"/>
              <v:stroke color="#FFFFFF" joinstyle="miter"/>
              <v:imagedata o:title=""/>
              <o:lock v:ext="edit" aspectratio="f"/>
              <v:textbox style="mso-fit-shape-to-text:t;">
                <w:txbxContent>
                  <w:p w14:paraId="1E9D6164">
                    <w:pPr>
                      <w:wordWrap w:val="0"/>
                      <w:jc w:val="right"/>
                    </w:pPr>
                    <w:r>
                      <w:rPr>
                        <w:rFonts w:hint="eastAsia"/>
                        <w:sz w:val="22"/>
                      </w:rPr>
                      <w:t xml:space="preserve">合同编号：       </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E6203">
    <w:pPr>
      <w:pStyle w:val="12"/>
      <w:jc w:val="both"/>
      <w:rPr>
        <w:rFonts w:ascii="Eras Bold ITC" w:hAnsi="Eras Bold ITC"/>
        <w:b/>
        <w:sz w:val="20"/>
        <w:szCs w:val="20"/>
      </w:rPr>
    </w:pPr>
    <w:r>
      <mc:AlternateContent>
        <mc:Choice Requires="wps">
          <w:drawing>
            <wp:anchor distT="45720" distB="45720" distL="114300" distR="114300" simplePos="0" relativeHeight="251662336" behindDoc="0" locked="0" layoutInCell="1" allowOverlap="1">
              <wp:simplePos x="0" y="0"/>
              <wp:positionH relativeFrom="column">
                <wp:posOffset>3971925</wp:posOffset>
              </wp:positionH>
              <wp:positionV relativeFrom="paragraph">
                <wp:posOffset>-182880</wp:posOffset>
              </wp:positionV>
              <wp:extent cx="2298065" cy="340360"/>
              <wp:effectExtent l="4445" t="4445" r="21590" b="17145"/>
              <wp:wrapSquare wrapText="bothSides"/>
              <wp:docPr id="1985810912" name="文本框 1985810912"/>
              <wp:cNvGraphicFramePr/>
              <a:graphic xmlns:a="http://schemas.openxmlformats.org/drawingml/2006/main">
                <a:graphicData uri="http://schemas.microsoft.com/office/word/2010/wordprocessingShape">
                  <wps:wsp>
                    <wps:cNvSpPr txBox="1"/>
                    <wps:spPr>
                      <a:xfrm>
                        <a:off x="0" y="0"/>
                        <a:ext cx="2298065" cy="34036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3508BCBE">
                          <w:pPr>
                            <w:wordWrap w:val="0"/>
                            <w:jc w:val="right"/>
                          </w:pPr>
                          <w:r>
                            <w:rPr>
                              <w:rFonts w:hint="eastAsia"/>
                              <w:sz w:val="22"/>
                            </w:rPr>
                            <w:t xml:space="preserve">合同编号：       </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12.75pt;margin-top:-14.4pt;height:26.8pt;width:180.95pt;mso-wrap-distance-bottom:3.6pt;mso-wrap-distance-left:9pt;mso-wrap-distance-right:9pt;mso-wrap-distance-top:3.6pt;z-index:251662336;mso-width-relative:page;mso-height-relative:margin;mso-height-percent:200;" fillcolor="#FFFFFF" filled="t" stroked="t" coordsize="21600,21600" o:gfxdata="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lx1Rv3AAAAAoBAAAPAAAAAAAAAAEAIAAAACIAAABkcnMvZG93bnJldi54bWxQSwECFAAUAAAA&#10;CACHTuJATDsR+CMCAABwBAAADgAAAAAAAAABACAAAAArAQAAZHJzL2Uyb0RvYy54bWxQSwUGAAAA&#10;AAYABgBZAQAAwAUAAAAA&#10;">
              <v:fill on="t" focussize="0,0"/>
              <v:stroke color="#FFFFFF" joinstyle="miter"/>
              <v:imagedata o:title=""/>
              <o:lock v:ext="edit" aspectratio="f"/>
              <v:textbox style="mso-fit-shape-to-text:t;">
                <w:txbxContent>
                  <w:p w14:paraId="3508BCBE">
                    <w:pPr>
                      <w:wordWrap w:val="0"/>
                      <w:jc w:val="right"/>
                    </w:pPr>
                    <w:r>
                      <w:rPr>
                        <w:rFonts w:hint="eastAsia"/>
                        <w:sz w:val="22"/>
                      </w:rPr>
                      <w:t xml:space="preserve">合同编号：       </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80DB"/>
    <w:multiLevelType w:val="singleLevel"/>
    <w:tmpl w:val="80CC80DB"/>
    <w:lvl w:ilvl="0" w:tentative="0">
      <w:start w:val="2"/>
      <w:numFmt w:val="chineseCounting"/>
      <w:suff w:val="space"/>
      <w:lvlText w:val="第%1条"/>
      <w:lvlJc w:val="left"/>
      <w:rPr>
        <w:rFonts w:hint="eastAsia"/>
      </w:rPr>
    </w:lvl>
  </w:abstractNum>
  <w:abstractNum w:abstractNumId="1">
    <w:nsid w:val="9AC20E65"/>
    <w:multiLevelType w:val="singleLevel"/>
    <w:tmpl w:val="9AC20E65"/>
    <w:lvl w:ilvl="0" w:tentative="0">
      <w:start w:val="7"/>
      <w:numFmt w:val="decimal"/>
      <w:suff w:val="nothing"/>
      <w:lvlText w:val="%1、"/>
      <w:lvlJc w:val="left"/>
      <w:rPr>
        <w:rFonts w:hint="default"/>
        <w:b/>
        <w:bCs/>
      </w:rPr>
    </w:lvl>
  </w:abstractNum>
  <w:abstractNum w:abstractNumId="2">
    <w:nsid w:val="D0A76849"/>
    <w:multiLevelType w:val="singleLevel"/>
    <w:tmpl w:val="D0A76849"/>
    <w:lvl w:ilvl="0" w:tentative="0">
      <w:start w:val="7"/>
      <w:numFmt w:val="chineseCounting"/>
      <w:suff w:val="space"/>
      <w:lvlText w:val="第%1条"/>
      <w:lvlJc w:val="left"/>
      <w:rPr>
        <w:rFonts w:hint="eastAsia"/>
      </w:rPr>
    </w:lvl>
  </w:abstractNum>
  <w:abstractNum w:abstractNumId="3">
    <w:nsid w:val="09FD879B"/>
    <w:multiLevelType w:val="singleLevel"/>
    <w:tmpl w:val="09FD879B"/>
    <w:lvl w:ilvl="0" w:tentative="0">
      <w:start w:val="8"/>
      <w:numFmt w:val="decimal"/>
      <w:suff w:val="nothing"/>
      <w:lvlText w:val="%1、"/>
      <w:lvlJc w:val="left"/>
      <w:rPr>
        <w:rFonts w:hint="default"/>
        <w:b/>
        <w:bCs/>
      </w:rPr>
    </w:lvl>
  </w:abstractNum>
  <w:abstractNum w:abstractNumId="4">
    <w:nsid w:val="204ADEF9"/>
    <w:multiLevelType w:val="singleLevel"/>
    <w:tmpl w:val="204ADEF9"/>
    <w:lvl w:ilvl="0" w:tentative="0">
      <w:start w:val="4"/>
      <w:numFmt w:val="chineseCounting"/>
      <w:suff w:val="space"/>
      <w:lvlText w:val="第%1条"/>
      <w:lvlJc w:val="left"/>
      <w:rPr>
        <w:rFonts w:hint="eastAsia"/>
      </w:rPr>
    </w:lvl>
  </w:abstractNum>
  <w:abstractNum w:abstractNumId="5">
    <w:nsid w:val="32E91937"/>
    <w:multiLevelType w:val="singleLevel"/>
    <w:tmpl w:val="32E91937"/>
    <w:lvl w:ilvl="0" w:tentative="0">
      <w:start w:val="1"/>
      <w:numFmt w:val="decimal"/>
      <w:suff w:val="nothing"/>
      <w:lvlText w:val="%1、"/>
      <w:lvlJc w:val="left"/>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MzYyOTU4MDczZmY3NjhkYjc0OTk5MmI1YTQyY2IifQ=="/>
  </w:docVars>
  <w:rsids>
    <w:rsidRoot w:val="00D5486B"/>
    <w:rsid w:val="0006551A"/>
    <w:rsid w:val="00107539"/>
    <w:rsid w:val="00142BDD"/>
    <w:rsid w:val="00147422"/>
    <w:rsid w:val="002E7419"/>
    <w:rsid w:val="00327FC0"/>
    <w:rsid w:val="003A3069"/>
    <w:rsid w:val="003B673F"/>
    <w:rsid w:val="00527F40"/>
    <w:rsid w:val="0055274A"/>
    <w:rsid w:val="0068242C"/>
    <w:rsid w:val="00715051"/>
    <w:rsid w:val="00A36917"/>
    <w:rsid w:val="00A56146"/>
    <w:rsid w:val="00A7549F"/>
    <w:rsid w:val="00A91CF9"/>
    <w:rsid w:val="00AA56E8"/>
    <w:rsid w:val="00B21482"/>
    <w:rsid w:val="00BE2E32"/>
    <w:rsid w:val="00BF760E"/>
    <w:rsid w:val="00C003F0"/>
    <w:rsid w:val="00C843A5"/>
    <w:rsid w:val="00D12F8D"/>
    <w:rsid w:val="00D5486B"/>
    <w:rsid w:val="00E9216A"/>
    <w:rsid w:val="01827CF2"/>
    <w:rsid w:val="01D9415D"/>
    <w:rsid w:val="04185410"/>
    <w:rsid w:val="04934A97"/>
    <w:rsid w:val="08C6279F"/>
    <w:rsid w:val="0D300712"/>
    <w:rsid w:val="0F332747"/>
    <w:rsid w:val="0F9A13CF"/>
    <w:rsid w:val="12C604D3"/>
    <w:rsid w:val="13203999"/>
    <w:rsid w:val="13445FC0"/>
    <w:rsid w:val="13912AE9"/>
    <w:rsid w:val="156C55BC"/>
    <w:rsid w:val="158340F2"/>
    <w:rsid w:val="16B32D77"/>
    <w:rsid w:val="16FE2244"/>
    <w:rsid w:val="18463EA2"/>
    <w:rsid w:val="19BE0F8C"/>
    <w:rsid w:val="19E61847"/>
    <w:rsid w:val="1C70015C"/>
    <w:rsid w:val="1E5627B1"/>
    <w:rsid w:val="1EDA2383"/>
    <w:rsid w:val="1F2E743E"/>
    <w:rsid w:val="1F777037"/>
    <w:rsid w:val="1FF84D34"/>
    <w:rsid w:val="20754138"/>
    <w:rsid w:val="20F80F7C"/>
    <w:rsid w:val="2142760F"/>
    <w:rsid w:val="222671B6"/>
    <w:rsid w:val="23294AEC"/>
    <w:rsid w:val="233A2855"/>
    <w:rsid w:val="2346115B"/>
    <w:rsid w:val="24B76F04"/>
    <w:rsid w:val="258C5AA5"/>
    <w:rsid w:val="275814FC"/>
    <w:rsid w:val="2A5F7045"/>
    <w:rsid w:val="2ADE7C21"/>
    <w:rsid w:val="2B4C1378"/>
    <w:rsid w:val="2D1B5C2C"/>
    <w:rsid w:val="2D7B45D9"/>
    <w:rsid w:val="2DEE0CEA"/>
    <w:rsid w:val="2EDF69A7"/>
    <w:rsid w:val="2EF27956"/>
    <w:rsid w:val="2FB4365F"/>
    <w:rsid w:val="31C774DA"/>
    <w:rsid w:val="31DD0182"/>
    <w:rsid w:val="332826CA"/>
    <w:rsid w:val="335349DF"/>
    <w:rsid w:val="33E65CE4"/>
    <w:rsid w:val="344A61E6"/>
    <w:rsid w:val="35060391"/>
    <w:rsid w:val="35420CDF"/>
    <w:rsid w:val="35DC6A5F"/>
    <w:rsid w:val="3615102B"/>
    <w:rsid w:val="366A124C"/>
    <w:rsid w:val="388F4F9A"/>
    <w:rsid w:val="3A213F04"/>
    <w:rsid w:val="3A3354AA"/>
    <w:rsid w:val="3ADC2F6D"/>
    <w:rsid w:val="3B4A0360"/>
    <w:rsid w:val="3BA033DD"/>
    <w:rsid w:val="3BC76818"/>
    <w:rsid w:val="3C6224D2"/>
    <w:rsid w:val="3D4E5423"/>
    <w:rsid w:val="3D8628AB"/>
    <w:rsid w:val="3E0226DD"/>
    <w:rsid w:val="3E5A01A2"/>
    <w:rsid w:val="3E976956"/>
    <w:rsid w:val="3EAF0862"/>
    <w:rsid w:val="408F1FDB"/>
    <w:rsid w:val="40A62E81"/>
    <w:rsid w:val="417575C8"/>
    <w:rsid w:val="42B86E9B"/>
    <w:rsid w:val="42C70E89"/>
    <w:rsid w:val="42F500EF"/>
    <w:rsid w:val="44006D3C"/>
    <w:rsid w:val="444333A4"/>
    <w:rsid w:val="444C01E3"/>
    <w:rsid w:val="445069EF"/>
    <w:rsid w:val="44B00E8A"/>
    <w:rsid w:val="44D206E8"/>
    <w:rsid w:val="4766336A"/>
    <w:rsid w:val="47CD163B"/>
    <w:rsid w:val="482F234C"/>
    <w:rsid w:val="4B914B94"/>
    <w:rsid w:val="4BE07B8E"/>
    <w:rsid w:val="4D447CA9"/>
    <w:rsid w:val="4D53415C"/>
    <w:rsid w:val="4D793BC7"/>
    <w:rsid w:val="51126303"/>
    <w:rsid w:val="514D2560"/>
    <w:rsid w:val="52CA50F4"/>
    <w:rsid w:val="54231ECA"/>
    <w:rsid w:val="546C1233"/>
    <w:rsid w:val="548337AD"/>
    <w:rsid w:val="554D4C73"/>
    <w:rsid w:val="56496330"/>
    <w:rsid w:val="5779071D"/>
    <w:rsid w:val="583A0626"/>
    <w:rsid w:val="58484011"/>
    <w:rsid w:val="58523BC2"/>
    <w:rsid w:val="58B959EF"/>
    <w:rsid w:val="594661BA"/>
    <w:rsid w:val="59FF38D6"/>
    <w:rsid w:val="5A3840F9"/>
    <w:rsid w:val="5AA60145"/>
    <w:rsid w:val="5C467F2C"/>
    <w:rsid w:val="5CB121D2"/>
    <w:rsid w:val="5D916D06"/>
    <w:rsid w:val="5DAA3B58"/>
    <w:rsid w:val="5E987E55"/>
    <w:rsid w:val="61333E65"/>
    <w:rsid w:val="62556BEE"/>
    <w:rsid w:val="636A324C"/>
    <w:rsid w:val="63862972"/>
    <w:rsid w:val="63926B94"/>
    <w:rsid w:val="644D317A"/>
    <w:rsid w:val="68F71D0E"/>
    <w:rsid w:val="695D23C7"/>
    <w:rsid w:val="6A5F2753"/>
    <w:rsid w:val="6B5B7BB3"/>
    <w:rsid w:val="6C575B38"/>
    <w:rsid w:val="6C9743DA"/>
    <w:rsid w:val="6FB940CF"/>
    <w:rsid w:val="714E6EA3"/>
    <w:rsid w:val="72012367"/>
    <w:rsid w:val="72CA0BA9"/>
    <w:rsid w:val="73310255"/>
    <w:rsid w:val="73787011"/>
    <w:rsid w:val="73F812B3"/>
    <w:rsid w:val="7412799D"/>
    <w:rsid w:val="75564973"/>
    <w:rsid w:val="75AE7B06"/>
    <w:rsid w:val="776B5D67"/>
    <w:rsid w:val="77B751D7"/>
    <w:rsid w:val="7B2D4678"/>
    <w:rsid w:val="7B8D151A"/>
    <w:rsid w:val="7B9003DA"/>
    <w:rsid w:val="7BC4727D"/>
    <w:rsid w:val="7C017104"/>
    <w:rsid w:val="7C3945CD"/>
    <w:rsid w:val="7C40603E"/>
    <w:rsid w:val="7D20450B"/>
    <w:rsid w:val="7E71142E"/>
    <w:rsid w:val="7ECB430D"/>
    <w:rsid w:val="7FA73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qFormat="1"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5"/>
    <w:unhideWhenUsed/>
    <w:qFormat/>
    <w:uiPriority w:val="9"/>
    <w:pPr>
      <w:keepNext/>
      <w:keepLines/>
      <w:autoSpaceDE w:val="0"/>
      <w:autoSpaceDN w:val="0"/>
      <w:adjustRightInd w:val="0"/>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5"/>
    <w:basedOn w:val="1"/>
    <w:next w:val="1"/>
    <w:link w:val="36"/>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unhideWhenUsed/>
    <w:qFormat/>
    <w:uiPriority w:val="99"/>
    <w:pPr>
      <w:jc w:val="left"/>
    </w:pPr>
  </w:style>
  <w:style w:type="paragraph" w:styleId="6">
    <w:name w:val="Body Text"/>
    <w:basedOn w:val="1"/>
    <w:next w:val="1"/>
    <w:qFormat/>
    <w:uiPriority w:val="1"/>
    <w:pPr>
      <w:spacing w:after="120"/>
    </w:pPr>
    <w:rPr>
      <w:kern w:val="0"/>
      <w:sz w:val="20"/>
    </w:rPr>
  </w:style>
  <w:style w:type="paragraph" w:styleId="7">
    <w:name w:val="Body Text Indent"/>
    <w:basedOn w:val="1"/>
    <w:unhideWhenUsed/>
    <w:qFormat/>
    <w:uiPriority w:val="99"/>
    <w:pPr>
      <w:spacing w:after="120"/>
      <w:ind w:left="420" w:leftChars="200"/>
    </w:pPr>
  </w:style>
  <w:style w:type="paragraph" w:styleId="8">
    <w:name w:val="index 4"/>
    <w:basedOn w:val="1"/>
    <w:next w:val="1"/>
    <w:unhideWhenUsed/>
    <w:qFormat/>
    <w:uiPriority w:val="99"/>
    <w:pPr>
      <w:ind w:left="600" w:leftChars="600"/>
    </w:pPr>
  </w:style>
  <w:style w:type="paragraph" w:styleId="9">
    <w:name w:val="Plain Text"/>
    <w:basedOn w:val="1"/>
    <w:next w:val="1"/>
    <w:qFormat/>
    <w:uiPriority w:val="0"/>
    <w:rPr>
      <w:rFonts w:ascii="宋体" w:hAnsi="Courier New"/>
      <w:sz w:val="21"/>
    </w:rPr>
  </w:style>
  <w:style w:type="paragraph" w:styleId="10">
    <w:name w:val="endnote text"/>
    <w:unhideWhenUsed/>
    <w:qFormat/>
    <w:uiPriority w:val="0"/>
    <w:pPr>
      <w:widowControl w:val="0"/>
      <w:snapToGrid w:val="0"/>
    </w:pPr>
    <w:rPr>
      <w:rFonts w:ascii="Times New Roman" w:hAnsi="Times New Roman" w:eastAsia="黑体" w:cs="Times New Roman"/>
      <w:kern w:val="2"/>
      <w:sz w:val="21"/>
      <w:lang w:val="en-US" w:eastAsia="zh-CN" w:bidi="ar-SA"/>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3"/>
    <w:unhideWhenUsed/>
    <w:qFormat/>
    <w:uiPriority w:val="99"/>
    <w:pPr>
      <w:spacing w:after="120"/>
      <w:ind w:left="420" w:leftChars="200"/>
    </w:pPr>
    <w:rPr>
      <w:sz w:val="16"/>
      <w:szCs w:val="16"/>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Title"/>
    <w:basedOn w:val="1"/>
    <w:next w:val="1"/>
    <w:link w:val="42"/>
    <w:qFormat/>
    <w:uiPriority w:val="99"/>
    <w:pPr>
      <w:spacing w:before="240" w:after="60"/>
      <w:jc w:val="center"/>
      <w:outlineLvl w:val="0"/>
    </w:pPr>
    <w:rPr>
      <w:rFonts w:ascii="Cambria" w:hAnsi="Cambria" w:eastAsia="宋体" w:cs="Cambria"/>
      <w:b/>
      <w:bCs/>
      <w:sz w:val="32"/>
      <w:szCs w:val="32"/>
    </w:rPr>
  </w:style>
  <w:style w:type="paragraph" w:styleId="16">
    <w:name w:val="annotation subject"/>
    <w:basedOn w:val="5"/>
    <w:next w:val="5"/>
    <w:link w:val="31"/>
    <w:unhideWhenUsed/>
    <w:qFormat/>
    <w:uiPriority w:val="99"/>
    <w:rPr>
      <w:b/>
      <w:bCs/>
    </w:rPr>
  </w:style>
  <w:style w:type="paragraph" w:styleId="17">
    <w:name w:val="Body Text First Indent"/>
    <w:basedOn w:val="6"/>
    <w:qFormat/>
    <w:uiPriority w:val="99"/>
    <w:pPr>
      <w:ind w:firstLine="210" w:firstLineChars="100"/>
    </w:pPr>
    <w:rPr>
      <w:rFonts w:ascii="DFKai-SB" w:eastAsia="DFKai-SB"/>
      <w:sz w:val="28"/>
      <w:lang w:eastAsia="zh-TW"/>
    </w:rPr>
  </w:style>
  <w:style w:type="paragraph" w:styleId="18">
    <w:name w:val="Body Text First Indent 2"/>
    <w:basedOn w:val="7"/>
    <w:unhideWhenUsed/>
    <w:qFormat/>
    <w:uiPriority w:val="99"/>
    <w:pPr>
      <w:ind w:firstLine="420" w:firstLineChars="200"/>
    </w:pPr>
  </w:style>
  <w:style w:type="table" w:styleId="20">
    <w:name w:val="Table Grid"/>
    <w:basedOn w:val="1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annotation reference"/>
    <w:basedOn w:val="21"/>
    <w:unhideWhenUsed/>
    <w:qFormat/>
    <w:uiPriority w:val="99"/>
    <w:rPr>
      <w:sz w:val="21"/>
      <w:szCs w:val="21"/>
    </w:rPr>
  </w:style>
  <w:style w:type="character" w:customStyle="1" w:styleId="24">
    <w:name w:val="页眉 字符"/>
    <w:basedOn w:val="21"/>
    <w:link w:val="12"/>
    <w:qFormat/>
    <w:uiPriority w:val="99"/>
    <w:rPr>
      <w:sz w:val="18"/>
      <w:szCs w:val="18"/>
    </w:rPr>
  </w:style>
  <w:style w:type="character" w:customStyle="1" w:styleId="25">
    <w:name w:val="页脚 字符"/>
    <w:basedOn w:val="21"/>
    <w:link w:val="11"/>
    <w:qFormat/>
    <w:uiPriority w:val="99"/>
    <w:rPr>
      <w:sz w:val="18"/>
      <w:szCs w:val="18"/>
    </w:rPr>
  </w:style>
  <w:style w:type="paragraph" w:customStyle="1" w:styleId="2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7">
    <w:name w:val="列出段落1"/>
    <w:basedOn w:val="1"/>
    <w:qFormat/>
    <w:uiPriority w:val="34"/>
    <w:pPr>
      <w:ind w:firstLine="420" w:firstLineChars="200"/>
    </w:pPr>
  </w:style>
  <w:style w:type="paragraph" w:customStyle="1" w:styleId="28">
    <w:name w:val="列出段落2"/>
    <w:basedOn w:val="1"/>
    <w:qFormat/>
    <w:uiPriority w:val="99"/>
    <w:pPr>
      <w:ind w:firstLine="420" w:firstLineChars="200"/>
    </w:pPr>
    <w:rPr>
      <w:rFonts w:ascii="Calibri" w:hAnsi="Calibri" w:eastAsia="宋体" w:cs="Times New Roman"/>
      <w:szCs w:val="24"/>
    </w:rPr>
  </w:style>
  <w:style w:type="paragraph" w:customStyle="1" w:styleId="29">
    <w:name w:val="Table Paragraph"/>
    <w:basedOn w:val="1"/>
    <w:qFormat/>
    <w:uiPriority w:val="1"/>
    <w:pPr>
      <w:spacing w:before="72"/>
      <w:ind w:left="15"/>
      <w:jc w:val="center"/>
    </w:pPr>
    <w:rPr>
      <w:rFonts w:ascii="Times New Roman" w:hAnsi="Times New Roman" w:eastAsia="Times New Roman" w:cs="Times New Roman"/>
    </w:rPr>
  </w:style>
  <w:style w:type="character" w:customStyle="1" w:styleId="30">
    <w:name w:val="批注文字 字符"/>
    <w:basedOn w:val="21"/>
    <w:link w:val="5"/>
    <w:semiHidden/>
    <w:qFormat/>
    <w:uiPriority w:val="99"/>
    <w:rPr>
      <w:rFonts w:asciiTheme="minorHAnsi" w:hAnsiTheme="minorHAnsi" w:eastAsiaTheme="minorEastAsia" w:cstheme="minorBidi"/>
      <w:kern w:val="2"/>
      <w:sz w:val="21"/>
      <w:szCs w:val="22"/>
    </w:rPr>
  </w:style>
  <w:style w:type="character" w:customStyle="1" w:styleId="31">
    <w:name w:val="批注主题 字符"/>
    <w:basedOn w:val="30"/>
    <w:link w:val="16"/>
    <w:semiHidden/>
    <w:qFormat/>
    <w:uiPriority w:val="99"/>
    <w:rPr>
      <w:rFonts w:asciiTheme="minorHAnsi" w:hAnsiTheme="minorHAnsi" w:eastAsiaTheme="minorEastAsia" w:cstheme="minorBidi"/>
      <w:b/>
      <w:bCs/>
      <w:kern w:val="2"/>
      <w:sz w:val="21"/>
      <w:szCs w:val="22"/>
    </w:rPr>
  </w:style>
  <w:style w:type="paragraph" w:customStyle="1" w:styleId="32">
    <w:name w:val="_Style 3"/>
    <w:basedOn w:val="1"/>
    <w:next w:val="13"/>
    <w:qFormat/>
    <w:uiPriority w:val="0"/>
    <w:pPr>
      <w:ind w:firstLine="420" w:firstLineChars="200"/>
    </w:pPr>
    <w:rPr>
      <w:rFonts w:ascii="Calibri" w:hAnsi="Calibri" w:eastAsia="Calibri" w:cs="Times New Roman"/>
      <w:sz w:val="22"/>
      <w:lang w:eastAsia="en-US"/>
    </w:rPr>
  </w:style>
  <w:style w:type="character" w:customStyle="1" w:styleId="33">
    <w:name w:val="正文文本缩进 3 字符"/>
    <w:basedOn w:val="21"/>
    <w:link w:val="13"/>
    <w:semiHidden/>
    <w:qFormat/>
    <w:uiPriority w:val="99"/>
    <w:rPr>
      <w:rFonts w:asciiTheme="minorHAnsi" w:hAnsiTheme="minorHAnsi" w:eastAsiaTheme="minorEastAsia" w:cstheme="minorBidi"/>
      <w:kern w:val="2"/>
      <w:sz w:val="16"/>
      <w:szCs w:val="16"/>
    </w:rPr>
  </w:style>
  <w:style w:type="paragraph" w:customStyle="1" w:styleId="34">
    <w:name w:val="列表段落1"/>
    <w:basedOn w:val="1"/>
    <w:qFormat/>
    <w:uiPriority w:val="34"/>
    <w:pPr>
      <w:ind w:firstLine="420" w:firstLineChars="200"/>
    </w:pPr>
    <w:rPr>
      <w:rFonts w:ascii="Times New Roman" w:hAnsi="Times New Roman" w:eastAsia="宋体" w:cs="Times New Roman"/>
      <w:szCs w:val="24"/>
    </w:rPr>
  </w:style>
  <w:style w:type="character" w:customStyle="1" w:styleId="35">
    <w:name w:val="标题 2 字符"/>
    <w:basedOn w:val="21"/>
    <w:link w:val="3"/>
    <w:semiHidden/>
    <w:qFormat/>
    <w:uiPriority w:val="9"/>
    <w:rPr>
      <w:rFonts w:asciiTheme="majorHAnsi" w:hAnsiTheme="majorHAnsi" w:eastAsiaTheme="majorEastAsia" w:cstheme="majorBidi"/>
      <w:b/>
      <w:bCs/>
      <w:sz w:val="32"/>
      <w:szCs w:val="32"/>
    </w:rPr>
  </w:style>
  <w:style w:type="character" w:customStyle="1" w:styleId="36">
    <w:name w:val="标题 5 字符"/>
    <w:basedOn w:val="21"/>
    <w:link w:val="4"/>
    <w:semiHidden/>
    <w:qFormat/>
    <w:uiPriority w:val="9"/>
    <w:rPr>
      <w:rFonts w:asciiTheme="minorHAnsi" w:hAnsiTheme="minorHAnsi" w:eastAsiaTheme="minorEastAsia" w:cstheme="minorBidi"/>
      <w:b/>
      <w:bCs/>
      <w:kern w:val="2"/>
      <w:sz w:val="28"/>
      <w:szCs w:val="28"/>
    </w:rPr>
  </w:style>
  <w:style w:type="character" w:customStyle="1" w:styleId="37">
    <w:name w:val="font21"/>
    <w:basedOn w:val="21"/>
    <w:qFormat/>
    <w:uiPriority w:val="0"/>
    <w:rPr>
      <w:rFonts w:hint="eastAsia" w:ascii="微软雅黑" w:hAnsi="微软雅黑" w:eastAsia="微软雅黑" w:cs="微软雅黑"/>
      <w:color w:val="000000"/>
      <w:sz w:val="18"/>
      <w:szCs w:val="18"/>
      <w:u w:val="none"/>
    </w:rPr>
  </w:style>
  <w:style w:type="character" w:customStyle="1" w:styleId="38">
    <w:name w:val="font11"/>
    <w:basedOn w:val="21"/>
    <w:qFormat/>
    <w:uiPriority w:val="0"/>
    <w:rPr>
      <w:rFonts w:hint="eastAsia" w:ascii="微软雅黑" w:hAnsi="微软雅黑" w:eastAsia="微软雅黑" w:cs="微软雅黑"/>
      <w:color w:val="000000"/>
      <w:sz w:val="18"/>
      <w:szCs w:val="18"/>
      <w:u w:val="none"/>
    </w:rPr>
  </w:style>
  <w:style w:type="character" w:customStyle="1" w:styleId="39">
    <w:name w:val="font01"/>
    <w:basedOn w:val="21"/>
    <w:qFormat/>
    <w:uiPriority w:val="0"/>
    <w:rPr>
      <w:rFonts w:ascii="微软雅黑" w:hAnsi="微软雅黑" w:eastAsia="微软雅黑" w:cs="微软雅黑"/>
      <w:color w:val="000000"/>
      <w:sz w:val="20"/>
      <w:szCs w:val="20"/>
      <w:u w:val="none"/>
    </w:rPr>
  </w:style>
  <w:style w:type="character" w:customStyle="1" w:styleId="40">
    <w:name w:val="font31"/>
    <w:basedOn w:val="21"/>
    <w:qFormat/>
    <w:uiPriority w:val="0"/>
    <w:rPr>
      <w:rFonts w:hint="eastAsia" w:ascii="宋体" w:hAnsi="宋体" w:eastAsia="宋体" w:cs="宋体"/>
      <w:b/>
      <w:bCs/>
      <w:color w:val="000000"/>
      <w:sz w:val="20"/>
      <w:szCs w:val="20"/>
      <w:u w:val="none"/>
    </w:rPr>
  </w:style>
  <w:style w:type="character" w:customStyle="1" w:styleId="41">
    <w:name w:val="font41"/>
    <w:basedOn w:val="21"/>
    <w:qFormat/>
    <w:uiPriority w:val="0"/>
    <w:rPr>
      <w:rFonts w:hint="default" w:ascii="Times New Roman" w:hAnsi="Times New Roman" w:cs="Times New Roman"/>
      <w:color w:val="000000"/>
      <w:sz w:val="22"/>
      <w:szCs w:val="22"/>
      <w:u w:val="none"/>
    </w:rPr>
  </w:style>
  <w:style w:type="character" w:customStyle="1" w:styleId="42">
    <w:name w:val="标题 字符"/>
    <w:basedOn w:val="21"/>
    <w:link w:val="15"/>
    <w:qFormat/>
    <w:uiPriority w:val="99"/>
    <w:rPr>
      <w:rFonts w:ascii="Cambria" w:hAnsi="Cambria" w:cs="Cambria"/>
      <w:b/>
      <w:bCs/>
      <w:kern w:val="2"/>
      <w:sz w:val="32"/>
      <w:szCs w:val="32"/>
    </w:rPr>
  </w:style>
  <w:style w:type="paragraph" w:customStyle="1" w:styleId="43">
    <w:name w:val="List Paragraph2"/>
    <w:basedOn w:val="1"/>
    <w:qFormat/>
    <w:uiPriority w:val="99"/>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3242</Words>
  <Characters>3387</Characters>
  <Lines>153</Lines>
  <Paragraphs>43</Paragraphs>
  <TotalTime>42</TotalTime>
  <ScaleCrop>false</ScaleCrop>
  <LinksUpToDate>false</LinksUpToDate>
  <CharactersWithSpaces>3419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2022-03-16T11:47:00Z</dcterms:created>
  <dc:creator>EFG</dc:creator>
  <cp:lastModifiedBy>倪倪</cp:lastModifiedBy>
  <cp:lastPrinted>2026-06-17T02:00:00Z</cp:lastPrinted>
  <dcterms:modified xsi:type="dcterms:W3CDTF">2026-06-23T01:13:20Z</dcterms:modified>
  <cp:revision>510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8D9E0740F149498893AFB6A0EE9217B7_13</vt:lpwstr>
  </property>
  <property fmtid="{D5CDD505-2E9C-101B-9397-08002B2CF9AE}" pid="4" name="KSOTemplateDocerSaveRecord">
    <vt:lpwstr>eyJoZGlkIjoiZTQzYjMzOTY2ZjZmNmJmMjBiYjRmNDQ5YmIyMWRmMTgiLCJ1c2VySWQiOiIxNzU1MDM0ODMxIn0=</vt:lpwstr>
  </property>
</Properties>
</file>