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E76BA5">
      <w:pPr>
        <w:pStyle w:val="8"/>
        <w:spacing w:before="0" w:beforeAutospacing="0" w:after="0" w:afterAutospacing="0" w:line="495" w:lineRule="atLeast"/>
        <w:ind w:left="-141" w:leftChars="-67"/>
        <w:jc w:val="left"/>
        <w:rPr>
          <w:rFonts w:hint="eastAsia" w:ascii="微软雅黑" w:hAnsi="微软雅黑" w:eastAsiaTheme="majorEastAsia"/>
          <w:color w:val="666666"/>
          <w:sz w:val="21"/>
          <w:szCs w:val="21"/>
          <w:lang w:val="en-US" w:eastAsia="zh-CN"/>
        </w:rPr>
      </w:pPr>
      <w:r>
        <w:rPr>
          <w:rStyle w:val="13"/>
          <w:rFonts w:hint="eastAsia" w:asciiTheme="majorEastAsia" w:hAnsiTheme="majorEastAsia" w:eastAsiaTheme="majorEastAsia"/>
          <w:sz w:val="30"/>
          <w:szCs w:val="30"/>
          <w:lang w:val="en-US" w:eastAsia="zh-CN"/>
        </w:rPr>
        <w:t>附件：</w:t>
      </w:r>
    </w:p>
    <w:p w14:paraId="16E76BA6">
      <w:pPr>
        <w:pStyle w:val="8"/>
        <w:spacing w:before="0" w:beforeAutospacing="0" w:after="0" w:afterAutospacing="0" w:line="360" w:lineRule="auto"/>
        <w:ind w:left="-141" w:leftChars="-67" w:firstLine="720"/>
        <w:rPr>
          <w:rFonts w:hint="eastAsia"/>
          <w:color w:val="666666"/>
          <w:sz w:val="21"/>
          <w:szCs w:val="21"/>
        </w:rPr>
      </w:pPr>
      <w:r>
        <w:rPr>
          <w:rFonts w:hint="eastAsia"/>
          <w:color w:val="666666"/>
          <w:sz w:val="21"/>
          <w:szCs w:val="21"/>
        </w:rPr>
        <w:t>一、项目简介：</w:t>
      </w:r>
    </w:p>
    <w:p w14:paraId="16E76BA7">
      <w:pPr>
        <w:pStyle w:val="8"/>
        <w:spacing w:before="0" w:beforeAutospacing="0" w:after="0" w:afterAutospacing="0" w:line="360" w:lineRule="auto"/>
        <w:ind w:left="-141" w:leftChars="-67" w:firstLine="840"/>
        <w:rPr>
          <w:rStyle w:val="15"/>
          <w:rFonts w:hint="eastAsia"/>
          <w:color w:val="444444"/>
          <w:sz w:val="21"/>
          <w:szCs w:val="21"/>
        </w:rPr>
      </w:pPr>
      <w:r>
        <w:rPr>
          <w:rStyle w:val="15"/>
          <w:rFonts w:hint="eastAsia"/>
          <w:color w:val="444444"/>
          <w:sz w:val="21"/>
          <w:szCs w:val="21"/>
        </w:rPr>
        <w:t>（一）项目背景</w:t>
      </w:r>
    </w:p>
    <w:p w14:paraId="6B406958">
      <w:pPr>
        <w:pStyle w:val="8"/>
        <w:spacing w:before="0" w:beforeAutospacing="0" w:after="0" w:afterAutospacing="0" w:line="360" w:lineRule="auto"/>
        <w:ind w:left="-141" w:leftChars="-67" w:firstLine="420" w:firstLineChars="200"/>
        <w:rPr>
          <w:rStyle w:val="15"/>
          <w:rFonts w:hint="default" w:eastAsia="宋体"/>
          <w:color w:val="444444"/>
          <w:sz w:val="21"/>
          <w:szCs w:val="21"/>
          <w:lang w:val="en-US" w:eastAsia="zh-CN"/>
        </w:rPr>
      </w:pPr>
      <w:r>
        <w:rPr>
          <w:rStyle w:val="15"/>
          <w:rFonts w:hint="eastAsia"/>
          <w:color w:val="444444"/>
          <w:sz w:val="21"/>
          <w:szCs w:val="21"/>
        </w:rPr>
        <w:t>广州医科大学附属第三医院系一所位于广东省广州市荔湾区多宝路63号的三级甲等综合性医院， 为了信息传递效率。实时显示挂号排队情况、科室分布、专家出诊变更、紧急通知等，减少患者盲目寻找和咨询台压力。优化就医流程，缓解候诊焦虑，健康宣教。医院有责任进行疾病预防、康复指导、用药提醒等教育。通过视频、动画、图文在候诊区循环播放，能标准化、生动地传递知识，提升患者健康素养和依从性。同时播放医院介绍、特色专科、专家风采等，提升信任感和形象。提升应急响应与内部管理效率。现准备对挂号区和等待区进行多媒体医疗宣教系统改造升级。</w:t>
      </w:r>
    </w:p>
    <w:p w14:paraId="16E76BB5">
      <w:pPr>
        <w:pStyle w:val="8"/>
        <w:numPr>
          <w:ilvl w:val="0"/>
          <w:numId w:val="1"/>
        </w:numPr>
        <w:spacing w:before="0" w:beforeAutospacing="0" w:after="0" w:afterAutospacing="0" w:line="360" w:lineRule="auto"/>
        <w:ind w:left="-141" w:leftChars="-67" w:firstLine="840"/>
        <w:rPr>
          <w:rStyle w:val="15"/>
          <w:rFonts w:cs="Times New Roman"/>
          <w:color w:val="444444"/>
          <w:sz w:val="21"/>
          <w:szCs w:val="21"/>
        </w:rPr>
      </w:pPr>
      <w:r>
        <w:rPr>
          <w:rStyle w:val="15"/>
          <w:rFonts w:hint="eastAsia" w:cs="Times New Roman"/>
          <w:color w:val="444444"/>
          <w:sz w:val="21"/>
          <w:szCs w:val="21"/>
        </w:rPr>
        <w:t>建设需求</w:t>
      </w:r>
    </w:p>
    <w:p w14:paraId="16E76BB6">
      <w:pPr>
        <w:pStyle w:val="8"/>
        <w:numPr>
          <w:ilvl w:val="0"/>
          <w:numId w:val="2"/>
        </w:numPr>
        <w:spacing w:before="0" w:beforeAutospacing="0" w:after="0" w:afterAutospacing="0" w:line="360" w:lineRule="auto"/>
        <w:ind w:left="-141" w:leftChars="-67"/>
        <w:rPr>
          <w:rStyle w:val="15"/>
          <w:rFonts w:cs="Times New Roman"/>
          <w:color w:val="444444"/>
          <w:sz w:val="21"/>
          <w:szCs w:val="21"/>
        </w:rPr>
      </w:pPr>
      <w:r>
        <w:rPr>
          <w:rStyle w:val="15"/>
          <w:rFonts w:hint="eastAsia" w:cs="Times New Roman"/>
          <w:color w:val="444444"/>
          <w:sz w:val="21"/>
          <w:szCs w:val="21"/>
        </w:rPr>
        <w:t>货物清单</w:t>
      </w:r>
      <w:r>
        <w:rPr>
          <w:rStyle w:val="15"/>
          <w:rFonts w:hint="eastAsia" w:cs="Times New Roman"/>
          <w:color w:val="444444"/>
          <w:sz w:val="21"/>
          <w:szCs w:val="21"/>
          <w:lang w:val="en-US" w:eastAsia="zh-CN"/>
        </w:rPr>
        <w:t>与采购控制价</w:t>
      </w:r>
      <w:r>
        <w:rPr>
          <w:rStyle w:val="15"/>
          <w:rFonts w:hint="eastAsia" w:cs="Times New Roman"/>
          <w:color w:val="444444"/>
          <w:sz w:val="21"/>
          <w:szCs w:val="21"/>
        </w:rPr>
        <w:t>：</w:t>
      </w:r>
    </w:p>
    <w:tbl>
      <w:tblPr>
        <w:tblStyle w:val="10"/>
        <w:tblW w:w="443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3"/>
        <w:gridCol w:w="3718"/>
        <w:gridCol w:w="967"/>
        <w:gridCol w:w="874"/>
        <w:gridCol w:w="1164"/>
      </w:tblGrid>
      <w:tr w14:paraId="33FC5A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557" w:type="pct"/>
            <w:noWrap/>
            <w:vAlign w:val="center"/>
          </w:tcPr>
          <w:p w14:paraId="3F1C15AF">
            <w:pPr>
              <w:spacing w:line="360" w:lineRule="auto"/>
              <w:ind w:left="-141" w:leftChars="-67" w:firstLine="211" w:firstLineChars="100"/>
              <w:jc w:val="left"/>
              <w:rPr>
                <w:rFonts w:hint="eastAsia" w:ascii="宋体" w:hAnsi="宋体" w:eastAsia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Cs w:val="21"/>
              </w:rPr>
              <w:t>序号</w:t>
            </w:r>
          </w:p>
        </w:tc>
        <w:tc>
          <w:tcPr>
            <w:tcW w:w="2457" w:type="pct"/>
            <w:vAlign w:val="center"/>
          </w:tcPr>
          <w:p w14:paraId="3378A102">
            <w:pPr>
              <w:spacing w:line="360" w:lineRule="auto"/>
              <w:ind w:left="-141" w:leftChars="-67"/>
              <w:jc w:val="left"/>
              <w:rPr>
                <w:rFonts w:hint="eastAsia" w:ascii="宋体" w:hAnsi="宋体" w:eastAsia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Cs w:val="21"/>
              </w:rPr>
              <w:t>名称</w:t>
            </w:r>
          </w:p>
        </w:tc>
        <w:tc>
          <w:tcPr>
            <w:tcW w:w="639" w:type="pct"/>
            <w:noWrap/>
            <w:vAlign w:val="center"/>
          </w:tcPr>
          <w:p w14:paraId="35C599AD">
            <w:pPr>
              <w:spacing w:line="360" w:lineRule="auto"/>
              <w:ind w:left="-141" w:leftChars="-67"/>
              <w:jc w:val="left"/>
              <w:rPr>
                <w:rFonts w:hint="eastAsia" w:ascii="宋体" w:hAnsi="宋体" w:eastAsia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Cs w:val="21"/>
              </w:rPr>
              <w:t>单位</w:t>
            </w:r>
          </w:p>
        </w:tc>
        <w:tc>
          <w:tcPr>
            <w:tcW w:w="578" w:type="pct"/>
            <w:noWrap/>
            <w:vAlign w:val="center"/>
          </w:tcPr>
          <w:p w14:paraId="78A5546A">
            <w:pPr>
              <w:spacing w:line="360" w:lineRule="auto"/>
              <w:ind w:left="-141" w:leftChars="-67"/>
              <w:jc w:val="left"/>
              <w:rPr>
                <w:rFonts w:hint="eastAsia" w:ascii="宋体" w:hAnsi="宋体" w:eastAsia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Cs w:val="21"/>
              </w:rPr>
              <w:t>数量</w:t>
            </w:r>
          </w:p>
        </w:tc>
        <w:tc>
          <w:tcPr>
            <w:tcW w:w="770" w:type="pct"/>
            <w:vAlign w:val="center"/>
          </w:tcPr>
          <w:p w14:paraId="79A46D27">
            <w:pPr>
              <w:spacing w:line="360" w:lineRule="auto"/>
              <w:ind w:left="-141" w:leftChars="-67"/>
              <w:jc w:val="left"/>
              <w:rPr>
                <w:rFonts w:hint="eastAsia" w:ascii="宋体" w:hAnsi="宋体" w:eastAsia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Cs w:val="21"/>
              </w:rPr>
              <w:t>备注</w:t>
            </w:r>
          </w:p>
        </w:tc>
      </w:tr>
      <w:tr w14:paraId="0BDDF5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557" w:type="pct"/>
            <w:shd w:val="clear" w:color="auto" w:fill="FFFFFF"/>
            <w:noWrap/>
            <w:vAlign w:val="center"/>
          </w:tcPr>
          <w:p w14:paraId="73320250">
            <w:pPr>
              <w:spacing w:line="360" w:lineRule="auto"/>
              <w:jc w:val="left"/>
              <w:rPr>
                <w:rFonts w:hint="eastAsia" w:ascii="宋体" w:hAnsi="宋体" w:eastAsia="宋体"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Cs w:val="21"/>
              </w:rPr>
              <w:t xml:space="preserve">  1</w:t>
            </w:r>
          </w:p>
        </w:tc>
        <w:tc>
          <w:tcPr>
            <w:tcW w:w="2457" w:type="pct"/>
            <w:shd w:val="clear" w:color="auto" w:fill="FFFFFF"/>
            <w:vAlign w:val="center"/>
          </w:tcPr>
          <w:p w14:paraId="608FA85A">
            <w:pPr>
              <w:spacing w:line="360" w:lineRule="auto"/>
              <w:ind w:left="-141" w:leftChars="-67"/>
              <w:jc w:val="left"/>
              <w:rPr>
                <w:rFonts w:hint="eastAsia" w:ascii="宋体" w:hAnsi="宋体" w:eastAsia="宋体"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Cs w:val="21"/>
              </w:rPr>
              <w:t>全彩屏室内</w:t>
            </w:r>
          </w:p>
        </w:tc>
        <w:tc>
          <w:tcPr>
            <w:tcW w:w="639" w:type="pct"/>
            <w:shd w:val="clear" w:color="auto" w:fill="FFFFFF"/>
            <w:noWrap/>
            <w:vAlign w:val="center"/>
          </w:tcPr>
          <w:p w14:paraId="023A771D">
            <w:pPr>
              <w:spacing w:line="360" w:lineRule="auto"/>
              <w:ind w:left="-141" w:leftChars="-67"/>
              <w:jc w:val="left"/>
              <w:rPr>
                <w:rFonts w:hint="eastAsia" w:ascii="宋体" w:hAnsi="宋体" w:eastAsia="宋体"/>
                <w:color w:val="000000"/>
                <w:szCs w:val="21"/>
              </w:rPr>
            </w:pPr>
            <w:bookmarkStart w:id="0" w:name="OLE_LINK1"/>
            <w:r>
              <w:rPr>
                <w:rFonts w:hint="eastAsia" w:ascii="宋体" w:hAnsi="宋体" w:eastAsia="宋体"/>
                <w:color w:val="000000"/>
                <w:szCs w:val="21"/>
              </w:rPr>
              <w:t>台</w:t>
            </w:r>
            <w:bookmarkEnd w:id="0"/>
          </w:p>
        </w:tc>
        <w:tc>
          <w:tcPr>
            <w:tcW w:w="578" w:type="pct"/>
            <w:shd w:val="clear" w:color="auto" w:fill="FFFFFF"/>
            <w:noWrap/>
            <w:vAlign w:val="center"/>
          </w:tcPr>
          <w:p w14:paraId="17F85506">
            <w:pPr>
              <w:spacing w:line="360" w:lineRule="auto"/>
              <w:ind w:left="-141" w:leftChars="-67"/>
              <w:jc w:val="left"/>
              <w:rPr>
                <w:rFonts w:hint="eastAsia" w:ascii="宋体" w:hAnsi="宋体" w:eastAsia="宋体"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Cs w:val="21"/>
              </w:rPr>
              <w:t xml:space="preserve">    1</w:t>
            </w:r>
          </w:p>
        </w:tc>
        <w:tc>
          <w:tcPr>
            <w:tcW w:w="770" w:type="pct"/>
            <w:shd w:val="clear" w:color="auto" w:fill="FFFFFF"/>
            <w:vAlign w:val="center"/>
          </w:tcPr>
          <w:p w14:paraId="2CE29795">
            <w:pPr>
              <w:spacing w:line="360" w:lineRule="auto"/>
              <w:ind w:left="-141" w:leftChars="-67"/>
              <w:jc w:val="left"/>
              <w:rPr>
                <w:rFonts w:hint="eastAsia" w:ascii="宋体" w:hAnsi="宋体" w:eastAsia="宋体"/>
                <w:color w:val="000000"/>
                <w:szCs w:val="21"/>
              </w:rPr>
            </w:pPr>
          </w:p>
        </w:tc>
      </w:tr>
      <w:tr w14:paraId="4018FD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  <w:jc w:val="center"/>
        </w:trPr>
        <w:tc>
          <w:tcPr>
            <w:tcW w:w="557" w:type="pct"/>
            <w:shd w:val="clear" w:color="auto" w:fill="FFFFFF"/>
            <w:noWrap/>
            <w:vAlign w:val="center"/>
          </w:tcPr>
          <w:p w14:paraId="1AEE98C6">
            <w:pPr>
              <w:spacing w:line="360" w:lineRule="auto"/>
              <w:ind w:left="-141" w:leftChars="-67" w:firstLine="210" w:firstLineChars="100"/>
              <w:jc w:val="left"/>
              <w:rPr>
                <w:rFonts w:hint="eastAsia" w:ascii="宋体" w:hAnsi="宋体" w:eastAsia="宋体"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Cs w:val="21"/>
              </w:rPr>
              <w:t xml:space="preserve"> 2</w:t>
            </w:r>
          </w:p>
        </w:tc>
        <w:tc>
          <w:tcPr>
            <w:tcW w:w="2457" w:type="pct"/>
            <w:shd w:val="clear" w:color="auto" w:fill="FFFFFF"/>
            <w:vAlign w:val="center"/>
          </w:tcPr>
          <w:p w14:paraId="4E67B766">
            <w:pPr>
              <w:spacing w:line="360" w:lineRule="auto"/>
              <w:ind w:left="-141" w:leftChars="-67"/>
              <w:jc w:val="left"/>
              <w:rPr>
                <w:rFonts w:hint="eastAsia" w:ascii="宋体" w:hAnsi="宋体" w:eastAsia="宋体"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Cs w:val="21"/>
              </w:rPr>
              <w:t>全彩屏室外防水</w:t>
            </w:r>
          </w:p>
        </w:tc>
        <w:tc>
          <w:tcPr>
            <w:tcW w:w="639" w:type="pct"/>
            <w:shd w:val="clear" w:color="auto" w:fill="FFFFFF"/>
            <w:noWrap/>
            <w:vAlign w:val="center"/>
          </w:tcPr>
          <w:p w14:paraId="7BF3AB3A">
            <w:pPr>
              <w:spacing w:line="360" w:lineRule="auto"/>
              <w:ind w:left="-141" w:leftChars="-67"/>
              <w:jc w:val="left"/>
              <w:rPr>
                <w:rFonts w:hint="eastAsia" w:ascii="宋体" w:hAnsi="宋体" w:eastAsia="宋体"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Cs w:val="21"/>
              </w:rPr>
              <w:t>台</w:t>
            </w:r>
          </w:p>
        </w:tc>
        <w:tc>
          <w:tcPr>
            <w:tcW w:w="578" w:type="pct"/>
            <w:shd w:val="clear" w:color="auto" w:fill="FFFFFF"/>
            <w:noWrap/>
            <w:vAlign w:val="center"/>
          </w:tcPr>
          <w:p w14:paraId="4DFCD4D8">
            <w:pPr>
              <w:spacing w:line="360" w:lineRule="auto"/>
              <w:ind w:left="-141" w:leftChars="-67"/>
              <w:jc w:val="left"/>
              <w:rPr>
                <w:rFonts w:hint="eastAsia" w:ascii="宋体" w:hAnsi="宋体" w:eastAsia="宋体"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Cs w:val="21"/>
              </w:rPr>
              <w:t xml:space="preserve">    1</w:t>
            </w:r>
          </w:p>
        </w:tc>
        <w:tc>
          <w:tcPr>
            <w:tcW w:w="770" w:type="pct"/>
            <w:shd w:val="clear" w:color="auto" w:fill="FFFFFF"/>
            <w:vAlign w:val="center"/>
          </w:tcPr>
          <w:p w14:paraId="777E3736">
            <w:pPr>
              <w:spacing w:line="360" w:lineRule="auto"/>
              <w:ind w:left="-141" w:leftChars="-67"/>
              <w:jc w:val="left"/>
              <w:rPr>
                <w:rFonts w:hint="eastAsia" w:ascii="宋体" w:hAnsi="宋体" w:eastAsia="宋体"/>
                <w:color w:val="000000"/>
                <w:szCs w:val="21"/>
              </w:rPr>
            </w:pPr>
          </w:p>
        </w:tc>
      </w:tr>
      <w:tr w14:paraId="6FE340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57" w:type="pct"/>
            <w:shd w:val="clear" w:color="auto" w:fill="FFFFFF"/>
            <w:noWrap/>
            <w:vAlign w:val="center"/>
          </w:tcPr>
          <w:p w14:paraId="5D2B04DF">
            <w:pPr>
              <w:spacing w:line="360" w:lineRule="auto"/>
              <w:ind w:left="-141" w:leftChars="-67"/>
              <w:jc w:val="left"/>
              <w:rPr>
                <w:rFonts w:hint="eastAsia" w:ascii="宋体" w:hAnsi="宋体" w:eastAsia="宋体"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Cs w:val="21"/>
              </w:rPr>
              <w:t xml:space="preserve">   3</w:t>
            </w:r>
          </w:p>
        </w:tc>
        <w:tc>
          <w:tcPr>
            <w:tcW w:w="2457" w:type="pct"/>
            <w:shd w:val="clear" w:color="auto" w:fill="FFFFFF"/>
            <w:vAlign w:val="center"/>
          </w:tcPr>
          <w:p w14:paraId="5666CB95">
            <w:pPr>
              <w:spacing w:line="360" w:lineRule="auto"/>
              <w:ind w:left="-141" w:leftChars="-67"/>
              <w:jc w:val="left"/>
              <w:rPr>
                <w:rFonts w:hint="eastAsia" w:ascii="宋体" w:hAnsi="宋体" w:eastAsia="宋体"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Cs w:val="21"/>
              </w:rPr>
              <w:t>视频处理器多媒体综合业务显示系统</w:t>
            </w:r>
          </w:p>
        </w:tc>
        <w:tc>
          <w:tcPr>
            <w:tcW w:w="639" w:type="pct"/>
            <w:shd w:val="clear" w:color="auto" w:fill="FFFFFF"/>
            <w:noWrap/>
            <w:vAlign w:val="center"/>
          </w:tcPr>
          <w:p w14:paraId="409CF489">
            <w:pPr>
              <w:spacing w:line="360" w:lineRule="auto"/>
              <w:ind w:left="-141" w:leftChars="-67"/>
              <w:jc w:val="left"/>
              <w:rPr>
                <w:rFonts w:hint="eastAsia" w:ascii="宋体" w:hAnsi="宋体" w:eastAsia="宋体"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Cs w:val="21"/>
              </w:rPr>
              <w:t>台</w:t>
            </w:r>
          </w:p>
        </w:tc>
        <w:tc>
          <w:tcPr>
            <w:tcW w:w="578" w:type="pct"/>
            <w:shd w:val="clear" w:color="auto" w:fill="FFFFFF"/>
            <w:noWrap/>
            <w:vAlign w:val="center"/>
          </w:tcPr>
          <w:p w14:paraId="605E0AB4">
            <w:pPr>
              <w:spacing w:line="360" w:lineRule="auto"/>
              <w:ind w:left="-141" w:leftChars="-67"/>
              <w:jc w:val="left"/>
              <w:rPr>
                <w:rFonts w:hint="eastAsia" w:ascii="宋体" w:hAnsi="宋体" w:eastAsia="宋体"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Cs w:val="21"/>
              </w:rPr>
              <w:t xml:space="preserve">    1</w:t>
            </w:r>
          </w:p>
        </w:tc>
        <w:tc>
          <w:tcPr>
            <w:tcW w:w="770" w:type="pct"/>
            <w:shd w:val="clear" w:color="auto" w:fill="FFFFFF"/>
            <w:vAlign w:val="center"/>
          </w:tcPr>
          <w:p w14:paraId="12CD7A8D">
            <w:pPr>
              <w:spacing w:line="360" w:lineRule="auto"/>
              <w:ind w:left="-141" w:leftChars="-67"/>
              <w:jc w:val="left"/>
              <w:rPr>
                <w:rFonts w:hint="eastAsia" w:ascii="宋体" w:hAnsi="宋体" w:eastAsia="宋体"/>
                <w:color w:val="000000"/>
                <w:szCs w:val="21"/>
              </w:rPr>
            </w:pPr>
          </w:p>
        </w:tc>
      </w:tr>
      <w:tr w14:paraId="2618A4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57" w:type="pct"/>
            <w:shd w:val="clear" w:color="auto" w:fill="FFFFFF"/>
            <w:noWrap/>
            <w:vAlign w:val="center"/>
          </w:tcPr>
          <w:p w14:paraId="4B12D98B">
            <w:pPr>
              <w:spacing w:line="360" w:lineRule="auto"/>
              <w:ind w:left="-141" w:leftChars="-67"/>
              <w:jc w:val="left"/>
              <w:rPr>
                <w:rFonts w:hint="eastAsia" w:ascii="宋体" w:hAnsi="宋体" w:eastAsia="宋体"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Cs w:val="21"/>
              </w:rPr>
              <w:t xml:space="preserve">   4</w:t>
            </w:r>
          </w:p>
        </w:tc>
        <w:tc>
          <w:tcPr>
            <w:tcW w:w="2457" w:type="pct"/>
            <w:shd w:val="clear" w:color="auto" w:fill="FFFFFF"/>
            <w:vAlign w:val="center"/>
          </w:tcPr>
          <w:p w14:paraId="2D309325">
            <w:pPr>
              <w:spacing w:line="360" w:lineRule="auto"/>
              <w:ind w:left="-141" w:leftChars="-67"/>
              <w:jc w:val="left"/>
              <w:rPr>
                <w:rFonts w:hint="eastAsia" w:ascii="宋体" w:hAnsi="宋体" w:eastAsia="宋体"/>
                <w:color w:val="000000"/>
                <w:szCs w:val="21"/>
              </w:rPr>
            </w:pPr>
            <w:bookmarkStart w:id="1" w:name="OLE_LINK2"/>
            <w:r>
              <w:rPr>
                <w:rFonts w:hint="eastAsia" w:ascii="宋体" w:hAnsi="宋体" w:eastAsia="宋体"/>
                <w:color w:val="000000"/>
                <w:szCs w:val="21"/>
              </w:rPr>
              <w:t>多媒体终端</w:t>
            </w:r>
            <w:bookmarkEnd w:id="1"/>
          </w:p>
        </w:tc>
        <w:tc>
          <w:tcPr>
            <w:tcW w:w="639" w:type="pct"/>
            <w:shd w:val="clear" w:color="auto" w:fill="FFFFFF"/>
            <w:noWrap/>
            <w:vAlign w:val="center"/>
          </w:tcPr>
          <w:p w14:paraId="3B89D0A0">
            <w:pPr>
              <w:spacing w:line="360" w:lineRule="auto"/>
              <w:ind w:left="-141" w:leftChars="-67"/>
              <w:jc w:val="left"/>
              <w:rPr>
                <w:rFonts w:hint="eastAsia" w:ascii="宋体" w:hAnsi="宋体" w:eastAsia="宋体"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Cs w:val="21"/>
              </w:rPr>
              <w:t>台</w:t>
            </w:r>
          </w:p>
        </w:tc>
        <w:tc>
          <w:tcPr>
            <w:tcW w:w="578" w:type="pct"/>
            <w:shd w:val="clear" w:color="auto" w:fill="FFFFFF"/>
            <w:noWrap/>
            <w:vAlign w:val="center"/>
          </w:tcPr>
          <w:p w14:paraId="31157054">
            <w:pPr>
              <w:spacing w:line="360" w:lineRule="auto"/>
              <w:ind w:left="-141" w:leftChars="-67"/>
              <w:jc w:val="left"/>
              <w:rPr>
                <w:rFonts w:hint="eastAsia" w:ascii="宋体" w:hAnsi="宋体" w:eastAsia="宋体"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Cs w:val="21"/>
              </w:rPr>
              <w:t xml:space="preserve">    2</w:t>
            </w:r>
          </w:p>
        </w:tc>
        <w:tc>
          <w:tcPr>
            <w:tcW w:w="770" w:type="pct"/>
            <w:shd w:val="clear" w:color="auto" w:fill="FFFFFF"/>
            <w:noWrap/>
            <w:vAlign w:val="center"/>
          </w:tcPr>
          <w:p w14:paraId="1E831711">
            <w:pPr>
              <w:spacing w:line="360" w:lineRule="auto"/>
              <w:ind w:left="-141" w:leftChars="-67"/>
              <w:jc w:val="left"/>
              <w:rPr>
                <w:rFonts w:hint="eastAsia" w:ascii="宋体" w:hAnsi="宋体" w:eastAsia="宋体"/>
                <w:color w:val="000000"/>
                <w:szCs w:val="21"/>
              </w:rPr>
            </w:pPr>
          </w:p>
        </w:tc>
      </w:tr>
      <w:tr w14:paraId="369627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57" w:type="pct"/>
            <w:shd w:val="clear" w:color="auto" w:fill="FFFFFF"/>
            <w:noWrap/>
            <w:vAlign w:val="center"/>
          </w:tcPr>
          <w:p w14:paraId="1A75D8E2">
            <w:pPr>
              <w:spacing w:line="360" w:lineRule="auto"/>
              <w:ind w:left="-141" w:leftChars="-67"/>
              <w:jc w:val="left"/>
              <w:rPr>
                <w:rFonts w:hint="eastAsia" w:ascii="宋体" w:hAnsi="宋体" w:eastAsia="宋体"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Cs w:val="21"/>
              </w:rPr>
              <w:t xml:space="preserve">   5</w:t>
            </w:r>
          </w:p>
        </w:tc>
        <w:tc>
          <w:tcPr>
            <w:tcW w:w="2457" w:type="pct"/>
            <w:shd w:val="clear" w:color="auto" w:fill="FFFFFF"/>
            <w:vAlign w:val="center"/>
          </w:tcPr>
          <w:p w14:paraId="360E1C3C">
            <w:pPr>
              <w:spacing w:line="360" w:lineRule="auto"/>
              <w:ind w:left="-141" w:leftChars="-67"/>
              <w:jc w:val="left"/>
              <w:rPr>
                <w:rFonts w:hint="eastAsia" w:ascii="宋体" w:hAnsi="宋体" w:eastAsia="宋体"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Cs w:val="21"/>
              </w:rPr>
              <w:t>安装工程</w:t>
            </w:r>
          </w:p>
        </w:tc>
        <w:tc>
          <w:tcPr>
            <w:tcW w:w="639" w:type="pct"/>
            <w:shd w:val="clear" w:color="auto" w:fill="FFFFFF"/>
            <w:noWrap/>
            <w:vAlign w:val="center"/>
          </w:tcPr>
          <w:p w14:paraId="565E043C">
            <w:pPr>
              <w:spacing w:line="360" w:lineRule="auto"/>
              <w:ind w:left="-141" w:leftChars="-67"/>
              <w:jc w:val="left"/>
              <w:rPr>
                <w:rFonts w:hint="eastAsia" w:ascii="宋体" w:hAnsi="宋体" w:eastAsia="宋体"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Cs w:val="21"/>
              </w:rPr>
              <w:t>项</w:t>
            </w:r>
          </w:p>
        </w:tc>
        <w:tc>
          <w:tcPr>
            <w:tcW w:w="578" w:type="pct"/>
            <w:shd w:val="clear" w:color="auto" w:fill="FFFFFF"/>
            <w:noWrap/>
            <w:vAlign w:val="center"/>
          </w:tcPr>
          <w:p w14:paraId="6FD554D9">
            <w:pPr>
              <w:spacing w:line="360" w:lineRule="auto"/>
              <w:ind w:left="-141" w:leftChars="-67"/>
              <w:jc w:val="left"/>
              <w:rPr>
                <w:rFonts w:hint="eastAsia" w:ascii="宋体" w:hAnsi="宋体" w:eastAsia="宋体"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Cs w:val="21"/>
              </w:rPr>
              <w:t xml:space="preserve">    项</w:t>
            </w:r>
          </w:p>
        </w:tc>
        <w:tc>
          <w:tcPr>
            <w:tcW w:w="770" w:type="pct"/>
            <w:shd w:val="clear" w:color="auto" w:fill="FFFFFF"/>
            <w:noWrap/>
            <w:vAlign w:val="center"/>
          </w:tcPr>
          <w:p w14:paraId="66250DFA">
            <w:pPr>
              <w:spacing w:line="360" w:lineRule="auto"/>
              <w:ind w:left="-141" w:leftChars="-67"/>
              <w:jc w:val="left"/>
              <w:rPr>
                <w:rFonts w:hint="eastAsia" w:ascii="宋体" w:hAnsi="宋体" w:eastAsia="宋体"/>
                <w:color w:val="000000"/>
                <w:szCs w:val="21"/>
              </w:rPr>
            </w:pPr>
          </w:p>
        </w:tc>
      </w:tr>
    </w:tbl>
    <w:p w14:paraId="4F383FF1">
      <w:pPr>
        <w:pStyle w:val="8"/>
        <w:spacing w:before="0" w:beforeAutospacing="0" w:after="0" w:afterAutospacing="0" w:line="495" w:lineRule="atLeast"/>
        <w:ind w:firstLine="420" w:firstLineChars="200"/>
        <w:outlineLvl w:val="0"/>
        <w:rPr>
          <w:rStyle w:val="15"/>
          <w:rFonts w:hint="eastAsia" w:cs="Times New Roman"/>
          <w:color w:val="444444"/>
          <w:sz w:val="21"/>
          <w:szCs w:val="21"/>
          <w:highlight w:val="yellow"/>
        </w:rPr>
      </w:pPr>
      <w:bookmarkStart w:id="2" w:name="_Toc230700146"/>
      <w:r>
        <w:rPr>
          <w:rStyle w:val="15"/>
          <w:rFonts w:hint="eastAsia" w:asciiTheme="minorEastAsia" w:hAnsiTheme="minorEastAsia" w:eastAsiaTheme="minorEastAsia"/>
          <w:sz w:val="21"/>
          <w:szCs w:val="21"/>
          <w:highlight w:val="yellow"/>
          <w:lang w:val="en-US" w:eastAsia="zh-CN"/>
        </w:rPr>
        <w:t>*采购控制价</w:t>
      </w:r>
      <w:r>
        <w:rPr>
          <w:rStyle w:val="15"/>
          <w:rFonts w:hint="eastAsia" w:asciiTheme="minorEastAsia" w:hAnsiTheme="minorEastAsia" w:eastAsiaTheme="minorEastAsia"/>
          <w:sz w:val="21"/>
          <w:szCs w:val="21"/>
          <w:highlight w:val="yellow"/>
        </w:rPr>
        <w:t>：人民币</w:t>
      </w:r>
      <w:r>
        <w:rPr>
          <w:rFonts w:ascii="Segoe UI" w:hAnsi="Segoe UI" w:eastAsia="Segoe UI" w:cs="Segoe UI"/>
          <w:i w:val="0"/>
          <w:iCs w:val="0"/>
          <w:caps w:val="0"/>
          <w:spacing w:val="0"/>
          <w:sz w:val="21"/>
          <w:szCs w:val="21"/>
          <w:highlight w:val="yellow"/>
          <w:shd w:val="clear" w:fill="FFFFFF"/>
        </w:rPr>
        <w:t>24.89</w:t>
      </w:r>
      <w:r>
        <w:rPr>
          <w:rStyle w:val="15"/>
          <w:rFonts w:hint="eastAsia" w:asciiTheme="minorEastAsia" w:hAnsiTheme="minorEastAsia" w:eastAsiaTheme="minorEastAsia"/>
          <w:sz w:val="21"/>
          <w:szCs w:val="21"/>
          <w:highlight w:val="yellow"/>
          <w:lang w:val="en-US" w:eastAsia="zh-CN"/>
        </w:rPr>
        <w:t>万元</w:t>
      </w:r>
      <w:bookmarkEnd w:id="2"/>
      <w:r>
        <w:rPr>
          <w:rStyle w:val="15"/>
          <w:rFonts w:hint="eastAsia" w:asciiTheme="minorEastAsia" w:hAnsiTheme="minorEastAsia" w:eastAsiaTheme="minorEastAsia"/>
          <w:sz w:val="21"/>
          <w:szCs w:val="21"/>
          <w:highlight w:val="yellow"/>
        </w:rPr>
        <w:t>（最高限价）</w:t>
      </w:r>
    </w:p>
    <w:p w14:paraId="5BE79F49">
      <w:pPr>
        <w:pStyle w:val="8"/>
        <w:numPr>
          <w:ilvl w:val="0"/>
          <w:numId w:val="2"/>
        </w:numPr>
        <w:spacing w:before="0" w:beforeAutospacing="0" w:after="0" w:afterAutospacing="0" w:line="360" w:lineRule="auto"/>
        <w:ind w:left="-141" w:leftChars="-67"/>
        <w:rPr>
          <w:rStyle w:val="15"/>
          <w:rFonts w:cs="Times New Roman"/>
          <w:color w:val="444444"/>
          <w:sz w:val="21"/>
          <w:szCs w:val="21"/>
        </w:rPr>
      </w:pPr>
      <w:r>
        <w:rPr>
          <w:rStyle w:val="15"/>
          <w:rFonts w:hint="eastAsia" w:cs="Times New Roman"/>
          <w:color w:val="444444"/>
          <w:sz w:val="21"/>
          <w:szCs w:val="21"/>
        </w:rPr>
        <w:t>规格及要求：</w:t>
      </w:r>
    </w:p>
    <w:p w14:paraId="31145D2B">
      <w:pPr>
        <w:pStyle w:val="8"/>
        <w:spacing w:before="0" w:beforeAutospacing="0" w:after="0" w:afterAutospacing="0" w:line="240" w:lineRule="atLeast"/>
        <w:ind w:left="-141" w:leftChars="-67"/>
        <w:rPr>
          <w:rStyle w:val="15"/>
          <w:rFonts w:hint="eastAsia" w:cs="Times New Roman"/>
          <w:color w:val="444444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全彩屏室内</w:t>
      </w:r>
      <w:r>
        <w:rPr>
          <w:rStyle w:val="15"/>
          <w:rFonts w:hint="eastAsia" w:cs="Times New Roman"/>
          <w:color w:val="444444"/>
          <w:sz w:val="21"/>
          <w:szCs w:val="21"/>
        </w:rPr>
        <w:t>：</w:t>
      </w:r>
    </w:p>
    <w:p w14:paraId="02F470BA">
      <w:pPr>
        <w:pStyle w:val="8"/>
        <w:spacing w:line="240" w:lineRule="atLeast"/>
        <w:ind w:left="-141" w:leftChars="-67" w:firstLine="210" w:firstLineChars="100"/>
        <w:rPr>
          <w:rStyle w:val="15"/>
          <w:rFonts w:cs="Times New Roman"/>
          <w:color w:val="444444"/>
          <w:sz w:val="21"/>
          <w:szCs w:val="21"/>
          <w:highlight w:val="yellow"/>
        </w:rPr>
      </w:pPr>
      <w:r>
        <w:rPr>
          <w:rStyle w:val="15"/>
          <w:rFonts w:hint="eastAsia" w:asciiTheme="minorEastAsia" w:hAnsiTheme="minorEastAsia" w:eastAsiaTheme="minorEastAsia"/>
          <w:sz w:val="21"/>
          <w:szCs w:val="21"/>
          <w:highlight w:val="yellow"/>
          <w:lang w:val="en-US" w:eastAsia="zh-CN"/>
        </w:rPr>
        <w:t>*</w:t>
      </w:r>
      <w:r>
        <w:rPr>
          <w:rStyle w:val="15"/>
          <w:rFonts w:hint="eastAsia" w:cs="Times New Roman"/>
          <w:color w:val="444444"/>
          <w:sz w:val="21"/>
          <w:szCs w:val="21"/>
          <w:highlight w:val="yellow"/>
        </w:rPr>
        <w:t>1.1 屏幕显示面积：8.00m（长）*0.48m（高）。</w:t>
      </w:r>
    </w:p>
    <w:p w14:paraId="333DCA31">
      <w:pPr>
        <w:pStyle w:val="8"/>
        <w:spacing w:line="240" w:lineRule="atLeast"/>
        <w:ind w:left="-141" w:leftChars="-67" w:firstLine="210" w:firstLineChars="100"/>
        <w:rPr>
          <w:rStyle w:val="15"/>
          <w:rFonts w:hint="eastAsia" w:cs="Times New Roman"/>
          <w:color w:val="444444"/>
          <w:sz w:val="21"/>
          <w:szCs w:val="21"/>
        </w:rPr>
      </w:pPr>
      <w:r>
        <w:rPr>
          <w:rStyle w:val="15"/>
          <w:rFonts w:hint="eastAsia" w:cs="Times New Roman"/>
          <w:color w:val="444444"/>
          <w:sz w:val="21"/>
          <w:szCs w:val="21"/>
        </w:rPr>
        <w:t>1.2 点间距：1.86mm</w:t>
      </w:r>
    </w:p>
    <w:p w14:paraId="64828926">
      <w:pPr>
        <w:pStyle w:val="8"/>
        <w:spacing w:line="240" w:lineRule="atLeast"/>
        <w:ind w:left="-141" w:leftChars="-67" w:firstLine="210" w:firstLineChars="100"/>
        <w:rPr>
          <w:rStyle w:val="15"/>
          <w:rFonts w:hint="eastAsia" w:cs="Times New Roman"/>
          <w:color w:val="444444"/>
          <w:sz w:val="21"/>
          <w:szCs w:val="21"/>
        </w:rPr>
      </w:pPr>
      <w:r>
        <w:rPr>
          <w:rStyle w:val="15"/>
          <w:rFonts w:hint="eastAsia" w:cs="Times New Roman"/>
          <w:color w:val="444444"/>
          <w:sz w:val="21"/>
          <w:szCs w:val="21"/>
        </w:rPr>
        <w:t>1.3 模组分辨率（宽×高）：172 点(W)* 86 点(H)</w:t>
      </w:r>
    </w:p>
    <w:p w14:paraId="7ED45E5A">
      <w:pPr>
        <w:pStyle w:val="8"/>
        <w:spacing w:line="240" w:lineRule="atLeast"/>
        <w:ind w:left="-141" w:leftChars="-67" w:firstLine="210" w:firstLineChars="100"/>
        <w:rPr>
          <w:rStyle w:val="15"/>
          <w:rFonts w:hint="eastAsia" w:cs="Times New Roman"/>
          <w:color w:val="444444"/>
          <w:sz w:val="21"/>
          <w:szCs w:val="21"/>
        </w:rPr>
      </w:pPr>
      <w:r>
        <w:rPr>
          <w:rStyle w:val="15"/>
          <w:rFonts w:hint="eastAsia" w:cs="Times New Roman"/>
          <w:color w:val="444444"/>
          <w:sz w:val="21"/>
          <w:szCs w:val="21"/>
        </w:rPr>
        <w:t>1.4 模组尺寸（宽×高）：320mm×160mm 。</w:t>
      </w:r>
    </w:p>
    <w:p w14:paraId="3434A3F3">
      <w:pPr>
        <w:pStyle w:val="8"/>
        <w:spacing w:line="240" w:lineRule="atLeast"/>
        <w:ind w:left="-141" w:leftChars="-67" w:firstLine="210" w:firstLineChars="100"/>
        <w:rPr>
          <w:rStyle w:val="15"/>
          <w:rFonts w:hint="eastAsia" w:cs="Times New Roman"/>
          <w:color w:val="444444"/>
          <w:sz w:val="21"/>
          <w:szCs w:val="21"/>
        </w:rPr>
      </w:pPr>
      <w:r>
        <w:rPr>
          <w:rStyle w:val="15"/>
          <w:rFonts w:hint="eastAsia" w:cs="Times New Roman"/>
          <w:color w:val="444444"/>
          <w:sz w:val="21"/>
          <w:szCs w:val="21"/>
        </w:rPr>
        <w:t>1.5 像素结构：SMD1515</w:t>
      </w:r>
    </w:p>
    <w:p w14:paraId="6282617D">
      <w:pPr>
        <w:pStyle w:val="8"/>
        <w:spacing w:line="240" w:lineRule="atLeast"/>
        <w:ind w:left="-141" w:leftChars="-67" w:firstLine="210" w:firstLineChars="100"/>
        <w:rPr>
          <w:rStyle w:val="15"/>
          <w:rFonts w:hint="eastAsia" w:cs="Times New Roman"/>
          <w:color w:val="444444"/>
          <w:sz w:val="21"/>
          <w:szCs w:val="21"/>
        </w:rPr>
      </w:pPr>
      <w:r>
        <w:rPr>
          <w:rStyle w:val="15"/>
          <w:rFonts w:hint="eastAsia" w:cs="Times New Roman"/>
          <w:color w:val="444444"/>
          <w:sz w:val="21"/>
          <w:szCs w:val="21"/>
        </w:rPr>
        <w:t>1.6 需支持前维护。</w:t>
      </w:r>
    </w:p>
    <w:p w14:paraId="3EE2EBCD">
      <w:pPr>
        <w:pStyle w:val="8"/>
        <w:spacing w:line="240" w:lineRule="atLeast"/>
        <w:ind w:left="-141" w:leftChars="-67" w:firstLine="210" w:firstLineChars="100"/>
        <w:rPr>
          <w:rStyle w:val="15"/>
          <w:rFonts w:hint="eastAsia" w:cs="Times New Roman"/>
          <w:color w:val="444444"/>
          <w:sz w:val="21"/>
          <w:szCs w:val="21"/>
        </w:rPr>
      </w:pPr>
      <w:r>
        <w:rPr>
          <w:rStyle w:val="15"/>
          <w:rFonts w:hint="eastAsia" w:cs="Times New Roman"/>
          <w:color w:val="444444"/>
          <w:sz w:val="21"/>
          <w:szCs w:val="21"/>
        </w:rPr>
        <w:t>1.7 亮度:≥550cd/㎡</w:t>
      </w:r>
    </w:p>
    <w:p w14:paraId="227CE6D3">
      <w:pPr>
        <w:pStyle w:val="8"/>
        <w:spacing w:line="240" w:lineRule="atLeast"/>
        <w:ind w:left="-141" w:leftChars="-67" w:firstLine="210" w:firstLineChars="100"/>
        <w:rPr>
          <w:rStyle w:val="15"/>
          <w:rFonts w:hint="eastAsia" w:cs="Times New Roman"/>
          <w:color w:val="444444"/>
          <w:sz w:val="21"/>
          <w:szCs w:val="21"/>
        </w:rPr>
      </w:pPr>
      <w:r>
        <w:rPr>
          <w:rStyle w:val="15"/>
          <w:rFonts w:hint="eastAsia" w:cs="Times New Roman"/>
          <w:color w:val="444444"/>
          <w:sz w:val="21"/>
          <w:szCs w:val="21"/>
        </w:rPr>
        <w:t>1.8 点密度：288369 点/m2</w:t>
      </w:r>
    </w:p>
    <w:p w14:paraId="2CAFEDD7">
      <w:pPr>
        <w:pStyle w:val="8"/>
        <w:spacing w:line="240" w:lineRule="atLeast"/>
        <w:ind w:left="-141" w:leftChars="-67" w:firstLine="210" w:firstLineChars="100"/>
        <w:rPr>
          <w:rStyle w:val="15"/>
          <w:rFonts w:hint="eastAsia" w:cs="Times New Roman"/>
          <w:color w:val="444444"/>
          <w:sz w:val="21"/>
          <w:szCs w:val="21"/>
        </w:rPr>
      </w:pPr>
      <w:r>
        <w:rPr>
          <w:rStyle w:val="15"/>
          <w:rFonts w:hint="eastAsia" w:cs="Times New Roman"/>
          <w:color w:val="444444"/>
          <w:sz w:val="21"/>
          <w:szCs w:val="21"/>
        </w:rPr>
        <w:t>1.9 水平视角/垂直视角：屏体水平视角 140 ± 10° 屏体垂直视角 130 ± 10°</w:t>
      </w:r>
    </w:p>
    <w:p w14:paraId="74442BFE">
      <w:pPr>
        <w:pStyle w:val="8"/>
        <w:spacing w:line="240" w:lineRule="atLeast"/>
        <w:ind w:left="-141" w:leftChars="-67" w:firstLine="210" w:firstLineChars="100"/>
        <w:rPr>
          <w:rStyle w:val="15"/>
          <w:rFonts w:hint="eastAsia" w:cs="Times New Roman"/>
          <w:color w:val="444444"/>
          <w:sz w:val="21"/>
          <w:szCs w:val="21"/>
        </w:rPr>
      </w:pPr>
      <w:r>
        <w:rPr>
          <w:rStyle w:val="15"/>
          <w:rFonts w:hint="eastAsia" w:cs="Times New Roman"/>
          <w:color w:val="444444"/>
          <w:sz w:val="21"/>
          <w:szCs w:val="21"/>
        </w:rPr>
        <w:t>1.10 平整度：屏幕水平平整度 ＜1mm/㎡ 屏幕垂直平整度 ＜1mm/㎡</w:t>
      </w:r>
    </w:p>
    <w:p w14:paraId="765895C6">
      <w:pPr>
        <w:pStyle w:val="8"/>
        <w:spacing w:line="240" w:lineRule="atLeast"/>
        <w:ind w:left="-141" w:leftChars="-67" w:firstLine="210" w:firstLineChars="100"/>
        <w:rPr>
          <w:rStyle w:val="15"/>
          <w:rFonts w:hint="eastAsia" w:cs="Times New Roman"/>
          <w:color w:val="444444"/>
          <w:sz w:val="21"/>
          <w:szCs w:val="21"/>
        </w:rPr>
      </w:pPr>
      <w:r>
        <w:rPr>
          <w:rStyle w:val="15"/>
          <w:rFonts w:hint="eastAsia" w:cs="Times New Roman"/>
          <w:color w:val="444444"/>
          <w:sz w:val="21"/>
          <w:szCs w:val="21"/>
        </w:rPr>
        <w:t>1.11 亮度均匀性：≥ 97%</w:t>
      </w:r>
    </w:p>
    <w:p w14:paraId="48B1853D">
      <w:pPr>
        <w:pStyle w:val="8"/>
        <w:spacing w:line="240" w:lineRule="atLeast"/>
        <w:ind w:left="-141" w:leftChars="-67" w:firstLine="210" w:firstLineChars="100"/>
        <w:rPr>
          <w:rStyle w:val="15"/>
          <w:rFonts w:hint="eastAsia" w:cs="Times New Roman"/>
          <w:color w:val="444444"/>
          <w:sz w:val="21"/>
          <w:szCs w:val="21"/>
        </w:rPr>
      </w:pPr>
      <w:r>
        <w:rPr>
          <w:rStyle w:val="15"/>
          <w:rFonts w:hint="eastAsia" w:cs="Times New Roman"/>
          <w:color w:val="444444"/>
          <w:sz w:val="21"/>
          <w:szCs w:val="21"/>
        </w:rPr>
        <w:t>1.12 灰度级别：红、绿、蓝 12-14bits</w:t>
      </w:r>
    </w:p>
    <w:p w14:paraId="5D51634E">
      <w:pPr>
        <w:pStyle w:val="8"/>
        <w:spacing w:line="240" w:lineRule="atLeast"/>
        <w:ind w:left="-141" w:leftChars="-67" w:firstLine="210" w:firstLineChars="100"/>
        <w:rPr>
          <w:rStyle w:val="15"/>
          <w:rFonts w:hint="eastAsia" w:cs="Times New Roman"/>
          <w:color w:val="444444"/>
          <w:sz w:val="21"/>
          <w:szCs w:val="21"/>
        </w:rPr>
      </w:pPr>
      <w:r>
        <w:rPr>
          <w:rStyle w:val="15"/>
          <w:rFonts w:hint="eastAsia" w:cs="Times New Roman"/>
          <w:color w:val="444444"/>
          <w:sz w:val="21"/>
          <w:szCs w:val="21"/>
        </w:rPr>
        <w:t>1.13 低亮高灰、刷新率:≥3840Hz 高灰阶、超宽带载：灰度 12～14Bits 可调</w:t>
      </w:r>
    </w:p>
    <w:p w14:paraId="165B81A1">
      <w:pPr>
        <w:pStyle w:val="8"/>
        <w:spacing w:line="240" w:lineRule="atLeast"/>
        <w:ind w:left="-141" w:leftChars="-67" w:firstLine="210" w:firstLineChars="100"/>
        <w:rPr>
          <w:rStyle w:val="15"/>
          <w:rFonts w:hint="eastAsia" w:cs="Times New Roman"/>
          <w:color w:val="444444"/>
          <w:sz w:val="21"/>
          <w:szCs w:val="21"/>
        </w:rPr>
      </w:pPr>
      <w:r>
        <w:rPr>
          <w:rStyle w:val="15"/>
          <w:rFonts w:hint="eastAsia" w:cs="Times New Roman"/>
          <w:color w:val="444444"/>
          <w:sz w:val="21"/>
          <w:szCs w:val="21"/>
        </w:rPr>
        <w:t>1.14 换帧频率：≥60 Hz。</w:t>
      </w:r>
    </w:p>
    <w:p w14:paraId="4F88AC3E">
      <w:pPr>
        <w:pStyle w:val="8"/>
        <w:spacing w:line="240" w:lineRule="atLeast"/>
        <w:ind w:left="-141" w:leftChars="-67" w:firstLine="210" w:firstLineChars="100"/>
        <w:rPr>
          <w:rStyle w:val="15"/>
          <w:rFonts w:hint="eastAsia" w:cs="Times New Roman"/>
          <w:color w:val="444444"/>
          <w:sz w:val="21"/>
          <w:szCs w:val="21"/>
        </w:rPr>
      </w:pPr>
      <w:r>
        <w:rPr>
          <w:rStyle w:val="15"/>
          <w:rFonts w:hint="eastAsia" w:cs="Times New Roman"/>
          <w:color w:val="444444"/>
          <w:sz w:val="21"/>
          <w:szCs w:val="21"/>
        </w:rPr>
        <w:t>1.15 屏体色温：3000-15960 可调</w:t>
      </w:r>
    </w:p>
    <w:p w14:paraId="4944AD8D">
      <w:pPr>
        <w:pStyle w:val="8"/>
        <w:spacing w:line="240" w:lineRule="atLeast"/>
        <w:ind w:left="-141" w:leftChars="-67" w:firstLine="210" w:firstLineChars="100"/>
        <w:rPr>
          <w:rStyle w:val="15"/>
          <w:rFonts w:hint="eastAsia" w:cs="Times New Roman"/>
          <w:color w:val="444444"/>
          <w:sz w:val="21"/>
          <w:szCs w:val="21"/>
        </w:rPr>
      </w:pPr>
      <w:r>
        <w:rPr>
          <w:rStyle w:val="15"/>
          <w:rFonts w:hint="eastAsia" w:cs="Times New Roman"/>
          <w:color w:val="444444"/>
          <w:sz w:val="21"/>
          <w:szCs w:val="21"/>
        </w:rPr>
        <w:t>1.16矫正：256 级手动/自动</w:t>
      </w:r>
    </w:p>
    <w:p w14:paraId="4DE6EBA6">
      <w:pPr>
        <w:pStyle w:val="8"/>
        <w:spacing w:line="240" w:lineRule="atLeast"/>
        <w:ind w:left="-141" w:leftChars="-67" w:firstLine="210" w:firstLineChars="100"/>
        <w:rPr>
          <w:rStyle w:val="15"/>
          <w:rFonts w:hint="eastAsia" w:cs="Times New Roman"/>
          <w:color w:val="444444"/>
          <w:sz w:val="21"/>
          <w:szCs w:val="21"/>
        </w:rPr>
      </w:pPr>
      <w:r>
        <w:rPr>
          <w:rStyle w:val="15"/>
          <w:rFonts w:hint="eastAsia" w:cs="Times New Roman"/>
          <w:color w:val="444444"/>
          <w:sz w:val="21"/>
          <w:szCs w:val="21"/>
        </w:rPr>
        <w:t>1.17 峰值功率：620w/m²</w:t>
      </w:r>
    </w:p>
    <w:p w14:paraId="2EEB291B">
      <w:pPr>
        <w:pStyle w:val="8"/>
        <w:spacing w:line="240" w:lineRule="atLeast"/>
        <w:ind w:left="489" w:leftChars="33" w:hanging="420" w:hangingChars="200"/>
        <w:rPr>
          <w:rStyle w:val="15"/>
          <w:rFonts w:hint="eastAsia" w:cs="Times New Roman"/>
          <w:color w:val="444444"/>
          <w:sz w:val="21"/>
          <w:szCs w:val="21"/>
        </w:rPr>
      </w:pPr>
      <w:r>
        <w:rPr>
          <w:rStyle w:val="15"/>
          <w:rFonts w:hint="eastAsia" w:cs="Times New Roman"/>
          <w:color w:val="444444"/>
          <w:sz w:val="21"/>
          <w:szCs w:val="21"/>
        </w:rPr>
        <w:t>1.18 工作电压：单板供电要求（V）） DC:4.2-4.5V、单元板功率 ≤21W、最大电流 4.2± 0.3A</w:t>
      </w:r>
    </w:p>
    <w:p w14:paraId="0E94B692">
      <w:pPr>
        <w:pStyle w:val="8"/>
        <w:spacing w:line="240" w:lineRule="atLeast"/>
        <w:ind w:left="-141" w:leftChars="-67" w:firstLine="210" w:firstLineChars="100"/>
        <w:rPr>
          <w:rStyle w:val="15"/>
          <w:rFonts w:hint="eastAsia" w:cs="Times New Roman"/>
          <w:color w:val="444444"/>
          <w:sz w:val="21"/>
          <w:szCs w:val="21"/>
        </w:rPr>
      </w:pPr>
      <w:r>
        <w:rPr>
          <w:rStyle w:val="15"/>
          <w:rFonts w:hint="eastAsia" w:cs="Times New Roman"/>
          <w:color w:val="444444"/>
          <w:sz w:val="21"/>
          <w:szCs w:val="21"/>
        </w:rPr>
        <w:t>1.19 LED典型寿命:理论使用寿命 ≥10 万小时 平均无故障时间 ≥1 万小时</w:t>
      </w:r>
    </w:p>
    <w:p w14:paraId="7A2CB6A2">
      <w:pPr>
        <w:pStyle w:val="8"/>
        <w:spacing w:line="240" w:lineRule="atLeast"/>
        <w:ind w:left="-141" w:leftChars="-67" w:firstLine="210" w:firstLineChars="100"/>
        <w:rPr>
          <w:rStyle w:val="15"/>
          <w:rFonts w:hint="eastAsia" w:cs="Times New Roman"/>
          <w:color w:val="444444"/>
          <w:sz w:val="21"/>
          <w:szCs w:val="21"/>
        </w:rPr>
      </w:pPr>
      <w:r>
        <w:rPr>
          <w:rStyle w:val="15"/>
          <w:rFonts w:hint="eastAsia" w:cs="Times New Roman"/>
          <w:color w:val="444444"/>
          <w:sz w:val="21"/>
          <w:szCs w:val="21"/>
        </w:rPr>
        <w:t>1.20 运行环境温度:-10℃-40℃，其它温度范围，需加装温控设备。</w:t>
      </w:r>
    </w:p>
    <w:p w14:paraId="20675C84">
      <w:pPr>
        <w:pStyle w:val="8"/>
        <w:spacing w:line="240" w:lineRule="atLeast"/>
        <w:ind w:left="-141" w:leftChars="-67" w:firstLine="840" w:firstLineChars="400"/>
        <w:rPr>
          <w:rStyle w:val="15"/>
          <w:rFonts w:hint="eastAsia" w:cs="Times New Roman"/>
          <w:color w:val="444444"/>
          <w:sz w:val="21"/>
          <w:szCs w:val="21"/>
        </w:rPr>
      </w:pPr>
      <w:r>
        <w:rPr>
          <w:rStyle w:val="15"/>
          <w:rFonts w:hint="eastAsia" w:cs="Times New Roman"/>
          <w:color w:val="444444"/>
          <w:sz w:val="21"/>
          <w:szCs w:val="21"/>
        </w:rPr>
        <w:t>单元板工作时灯面温度：≤60℃，温度超标需加装温控设备。</w:t>
      </w:r>
    </w:p>
    <w:p w14:paraId="5B1E0BAB">
      <w:pPr>
        <w:pStyle w:val="8"/>
        <w:spacing w:line="240" w:lineRule="atLeast"/>
        <w:ind w:left="-141" w:leftChars="-67" w:firstLine="210" w:firstLineChars="100"/>
        <w:rPr>
          <w:rStyle w:val="15"/>
          <w:rFonts w:cs="Times New Roman"/>
          <w:color w:val="444444"/>
          <w:sz w:val="21"/>
          <w:szCs w:val="21"/>
        </w:rPr>
      </w:pPr>
      <w:r>
        <w:rPr>
          <w:rStyle w:val="15"/>
          <w:rFonts w:hint="eastAsia" w:cs="Times New Roman"/>
          <w:color w:val="444444"/>
          <w:sz w:val="21"/>
          <w:szCs w:val="21"/>
        </w:rPr>
        <w:t>1.21 运行环境湿度：10%RH -65%RH，湿度超标需对使用环境除湿处理后才能正常使用。</w:t>
      </w:r>
    </w:p>
    <w:p w14:paraId="5720CCE2">
      <w:pPr>
        <w:pStyle w:val="8"/>
        <w:spacing w:line="240" w:lineRule="atLeast"/>
        <w:ind w:left="-141" w:leftChars="-67"/>
        <w:rPr>
          <w:rStyle w:val="15"/>
          <w:rFonts w:hint="eastAsia" w:cs="Times New Roman"/>
          <w:color w:val="444444"/>
          <w:sz w:val="21"/>
          <w:szCs w:val="21"/>
        </w:rPr>
      </w:pPr>
      <w:r>
        <w:rPr>
          <w:rStyle w:val="15"/>
          <w:rFonts w:hint="eastAsia" w:cs="Times New Roman"/>
          <w:color w:val="444444"/>
          <w:sz w:val="21"/>
          <w:szCs w:val="21"/>
        </w:rPr>
        <w:t>全彩屏室外版：</w:t>
      </w:r>
    </w:p>
    <w:p w14:paraId="2060D897">
      <w:pPr>
        <w:pStyle w:val="8"/>
        <w:spacing w:line="240" w:lineRule="atLeast"/>
        <w:ind w:left="-141" w:leftChars="-67" w:firstLine="210" w:firstLineChars="100"/>
        <w:rPr>
          <w:rStyle w:val="15"/>
          <w:rFonts w:hint="eastAsia" w:cs="Times New Roman"/>
          <w:color w:val="444444"/>
          <w:sz w:val="21"/>
          <w:szCs w:val="21"/>
          <w:highlight w:val="yellow"/>
        </w:rPr>
      </w:pPr>
      <w:r>
        <w:rPr>
          <w:rStyle w:val="15"/>
          <w:rFonts w:hint="eastAsia" w:asciiTheme="minorEastAsia" w:hAnsiTheme="minorEastAsia" w:eastAsiaTheme="minorEastAsia"/>
          <w:sz w:val="21"/>
          <w:szCs w:val="21"/>
          <w:highlight w:val="yellow"/>
          <w:lang w:val="en-US" w:eastAsia="zh-CN"/>
        </w:rPr>
        <w:t>*</w:t>
      </w:r>
      <w:r>
        <w:rPr>
          <w:rStyle w:val="15"/>
          <w:rFonts w:hint="eastAsia" w:cs="Times New Roman"/>
          <w:color w:val="444444"/>
          <w:sz w:val="21"/>
          <w:szCs w:val="21"/>
          <w:highlight w:val="yellow"/>
        </w:rPr>
        <w:t>1.1 屏幕显示面积：3.84</w:t>
      </w:r>
      <w:r>
        <w:rPr>
          <w:rStyle w:val="15"/>
          <w:rFonts w:hint="eastAsia" w:cs="Times New Roman"/>
          <w:color w:val="444444"/>
          <w:sz w:val="21"/>
          <w:szCs w:val="21"/>
          <w:highlight w:val="yellow"/>
          <w:lang w:val="en-US" w:eastAsia="zh-CN"/>
        </w:rPr>
        <w:t>M</w:t>
      </w:r>
      <w:r>
        <w:rPr>
          <w:rStyle w:val="15"/>
          <w:rFonts w:hint="eastAsia" w:cs="Times New Roman"/>
          <w:color w:val="444444"/>
          <w:sz w:val="21"/>
          <w:szCs w:val="21"/>
          <w:highlight w:val="yellow"/>
        </w:rPr>
        <w:t>*2.08M</w:t>
      </w:r>
    </w:p>
    <w:p w14:paraId="3E61CE34">
      <w:pPr>
        <w:pStyle w:val="8"/>
        <w:spacing w:line="240" w:lineRule="atLeast"/>
        <w:ind w:left="-141" w:leftChars="-67" w:firstLine="210" w:firstLineChars="100"/>
        <w:rPr>
          <w:rStyle w:val="15"/>
          <w:rFonts w:hint="eastAsia" w:cs="Times New Roman"/>
          <w:color w:val="444444"/>
          <w:sz w:val="21"/>
          <w:szCs w:val="21"/>
        </w:rPr>
      </w:pPr>
      <w:r>
        <w:rPr>
          <w:rStyle w:val="15"/>
          <w:rFonts w:hint="eastAsia" w:cs="Times New Roman"/>
          <w:color w:val="444444"/>
          <w:sz w:val="21"/>
          <w:szCs w:val="21"/>
        </w:rPr>
        <w:t>1.2 点间距：2.5mm</w:t>
      </w:r>
    </w:p>
    <w:p w14:paraId="49308751">
      <w:pPr>
        <w:pStyle w:val="8"/>
        <w:spacing w:line="240" w:lineRule="atLeast"/>
        <w:ind w:left="-141" w:leftChars="-67" w:firstLine="210" w:firstLineChars="100"/>
        <w:rPr>
          <w:rStyle w:val="15"/>
          <w:rFonts w:hint="eastAsia" w:cs="Times New Roman"/>
          <w:color w:val="444444"/>
          <w:sz w:val="21"/>
          <w:szCs w:val="21"/>
        </w:rPr>
      </w:pPr>
      <w:r>
        <w:rPr>
          <w:rStyle w:val="15"/>
          <w:rFonts w:hint="eastAsia" w:cs="Times New Roman"/>
          <w:color w:val="444444"/>
          <w:sz w:val="21"/>
          <w:szCs w:val="21"/>
        </w:rPr>
        <w:t>1.3 模组分辨率（宽×高）：128*64</w:t>
      </w:r>
    </w:p>
    <w:p w14:paraId="65C413E0">
      <w:pPr>
        <w:pStyle w:val="8"/>
        <w:spacing w:line="240" w:lineRule="atLeast"/>
        <w:ind w:left="-141" w:leftChars="-67" w:firstLine="210" w:firstLineChars="100"/>
        <w:rPr>
          <w:rStyle w:val="15"/>
          <w:rFonts w:hint="eastAsia" w:cs="Times New Roman"/>
          <w:color w:val="444444"/>
          <w:sz w:val="21"/>
          <w:szCs w:val="21"/>
        </w:rPr>
      </w:pPr>
      <w:r>
        <w:rPr>
          <w:rStyle w:val="15"/>
          <w:rFonts w:hint="eastAsia" w:cs="Times New Roman"/>
          <w:color w:val="444444"/>
          <w:sz w:val="21"/>
          <w:szCs w:val="21"/>
        </w:rPr>
        <w:t>1.4 模组尺寸（宽×高）：320mm×160mm 。</w:t>
      </w:r>
    </w:p>
    <w:p w14:paraId="2E3B7655">
      <w:pPr>
        <w:pStyle w:val="8"/>
        <w:spacing w:line="240" w:lineRule="atLeast"/>
        <w:ind w:left="-141" w:leftChars="-67" w:firstLine="210" w:firstLineChars="100"/>
        <w:rPr>
          <w:rStyle w:val="15"/>
          <w:rFonts w:hint="eastAsia" w:cs="Times New Roman"/>
          <w:color w:val="444444"/>
          <w:sz w:val="21"/>
          <w:szCs w:val="21"/>
        </w:rPr>
      </w:pPr>
      <w:r>
        <w:rPr>
          <w:rStyle w:val="15"/>
          <w:rFonts w:hint="eastAsia" w:cs="Times New Roman"/>
          <w:color w:val="444444"/>
          <w:sz w:val="21"/>
          <w:szCs w:val="21"/>
        </w:rPr>
        <w:t>1.5 像素结构：SMD1415</w:t>
      </w:r>
    </w:p>
    <w:p w14:paraId="3A375B51">
      <w:pPr>
        <w:pStyle w:val="8"/>
        <w:spacing w:line="240" w:lineRule="atLeast"/>
        <w:ind w:left="-141" w:leftChars="-67" w:firstLine="210" w:firstLineChars="100"/>
        <w:rPr>
          <w:rStyle w:val="15"/>
          <w:rFonts w:hint="eastAsia" w:cs="Times New Roman"/>
          <w:color w:val="444444"/>
          <w:sz w:val="21"/>
          <w:szCs w:val="21"/>
        </w:rPr>
      </w:pPr>
      <w:r>
        <w:rPr>
          <w:rStyle w:val="15"/>
          <w:rFonts w:hint="eastAsia" w:cs="Times New Roman"/>
          <w:color w:val="444444"/>
          <w:sz w:val="21"/>
          <w:szCs w:val="21"/>
        </w:rPr>
        <w:t>1.6 需支持前维护。</w:t>
      </w:r>
    </w:p>
    <w:p w14:paraId="78B7145B">
      <w:pPr>
        <w:pStyle w:val="8"/>
        <w:spacing w:line="240" w:lineRule="atLeast"/>
        <w:ind w:left="-141" w:leftChars="-67" w:firstLine="210" w:firstLineChars="100"/>
        <w:rPr>
          <w:rStyle w:val="15"/>
          <w:rFonts w:hint="eastAsia" w:cs="Times New Roman"/>
          <w:color w:val="444444"/>
          <w:sz w:val="21"/>
          <w:szCs w:val="21"/>
        </w:rPr>
      </w:pPr>
      <w:r>
        <w:rPr>
          <w:rStyle w:val="15"/>
          <w:rFonts w:hint="eastAsia" w:cs="Times New Roman"/>
          <w:color w:val="444444"/>
          <w:sz w:val="21"/>
          <w:szCs w:val="21"/>
        </w:rPr>
        <w:t>1.7 亮度:≥4500cd/㎡</w:t>
      </w:r>
    </w:p>
    <w:p w14:paraId="2294D069">
      <w:pPr>
        <w:pStyle w:val="8"/>
        <w:spacing w:line="240" w:lineRule="atLeast"/>
        <w:ind w:left="-141" w:leftChars="-67" w:firstLine="210" w:firstLineChars="100"/>
        <w:rPr>
          <w:rStyle w:val="15"/>
          <w:rFonts w:hint="eastAsia" w:cs="Times New Roman"/>
          <w:color w:val="444444"/>
          <w:sz w:val="21"/>
          <w:szCs w:val="21"/>
        </w:rPr>
      </w:pPr>
      <w:r>
        <w:rPr>
          <w:rStyle w:val="15"/>
          <w:rFonts w:hint="eastAsia" w:cs="Times New Roman"/>
          <w:color w:val="444444"/>
          <w:sz w:val="21"/>
          <w:szCs w:val="21"/>
        </w:rPr>
        <w:t>1.8 点密度：8192</w:t>
      </w:r>
    </w:p>
    <w:p w14:paraId="420C0E9B">
      <w:pPr>
        <w:pStyle w:val="8"/>
        <w:spacing w:line="240" w:lineRule="atLeast"/>
        <w:ind w:left="-141" w:leftChars="-67" w:firstLine="210" w:firstLineChars="100"/>
        <w:rPr>
          <w:rStyle w:val="15"/>
          <w:rFonts w:hint="eastAsia" w:cs="Times New Roman"/>
          <w:color w:val="444444"/>
          <w:sz w:val="21"/>
          <w:szCs w:val="21"/>
        </w:rPr>
      </w:pPr>
      <w:r>
        <w:rPr>
          <w:rStyle w:val="15"/>
          <w:rFonts w:hint="eastAsia" w:cs="Times New Roman"/>
          <w:color w:val="444444"/>
          <w:sz w:val="21"/>
          <w:szCs w:val="21"/>
        </w:rPr>
        <w:t>1.9 水平视角/垂直视角：屏体水平视角 140 ± 10° 屏体垂直视角 130 ± 10°</w:t>
      </w:r>
    </w:p>
    <w:p w14:paraId="63992E91">
      <w:pPr>
        <w:pStyle w:val="8"/>
        <w:spacing w:line="240" w:lineRule="atLeast"/>
        <w:ind w:left="-141" w:leftChars="-67" w:firstLine="210" w:firstLineChars="100"/>
        <w:rPr>
          <w:rStyle w:val="15"/>
          <w:rFonts w:hint="eastAsia" w:cs="Times New Roman"/>
          <w:color w:val="444444"/>
          <w:sz w:val="21"/>
          <w:szCs w:val="21"/>
        </w:rPr>
      </w:pPr>
      <w:r>
        <w:rPr>
          <w:rStyle w:val="15"/>
          <w:rFonts w:hint="eastAsia" w:cs="Times New Roman"/>
          <w:color w:val="444444"/>
          <w:sz w:val="21"/>
          <w:szCs w:val="21"/>
        </w:rPr>
        <w:t>1.10 平整度：屏幕水平平整度 ＜1mm/㎡ 屏幕垂直平整度 ＜1mm/㎡</w:t>
      </w:r>
    </w:p>
    <w:p w14:paraId="069C5DDA">
      <w:pPr>
        <w:pStyle w:val="8"/>
        <w:spacing w:line="240" w:lineRule="atLeast"/>
        <w:ind w:left="-141" w:leftChars="-67" w:firstLine="210" w:firstLineChars="100"/>
        <w:rPr>
          <w:rStyle w:val="15"/>
          <w:rFonts w:hint="eastAsia" w:cs="Times New Roman"/>
          <w:color w:val="444444"/>
          <w:sz w:val="21"/>
          <w:szCs w:val="21"/>
        </w:rPr>
      </w:pPr>
      <w:r>
        <w:rPr>
          <w:rStyle w:val="15"/>
          <w:rFonts w:hint="eastAsia" w:cs="Times New Roman"/>
          <w:color w:val="444444"/>
          <w:sz w:val="21"/>
          <w:szCs w:val="21"/>
        </w:rPr>
        <w:t>1.11 亮度均匀性：≥ 97%</w:t>
      </w:r>
    </w:p>
    <w:p w14:paraId="39013A4E">
      <w:pPr>
        <w:pStyle w:val="8"/>
        <w:spacing w:line="240" w:lineRule="atLeast"/>
        <w:ind w:left="-141" w:leftChars="-67" w:firstLine="210" w:firstLineChars="100"/>
        <w:rPr>
          <w:rStyle w:val="15"/>
          <w:rFonts w:hint="eastAsia" w:cs="Times New Roman"/>
          <w:color w:val="444444"/>
          <w:sz w:val="21"/>
          <w:szCs w:val="21"/>
        </w:rPr>
      </w:pPr>
      <w:r>
        <w:rPr>
          <w:rStyle w:val="15"/>
          <w:rFonts w:hint="eastAsia" w:cs="Times New Roman"/>
          <w:color w:val="444444"/>
          <w:sz w:val="21"/>
          <w:szCs w:val="21"/>
        </w:rPr>
        <w:t>1.12 灰度级别：红、绿、蓝 12-14bits</w:t>
      </w:r>
    </w:p>
    <w:p w14:paraId="7F26A47D">
      <w:pPr>
        <w:pStyle w:val="8"/>
        <w:spacing w:line="240" w:lineRule="atLeast"/>
        <w:ind w:left="-141" w:leftChars="-67" w:firstLine="210" w:firstLineChars="100"/>
        <w:rPr>
          <w:rStyle w:val="15"/>
          <w:rFonts w:hint="eastAsia" w:cs="Times New Roman"/>
          <w:color w:val="444444"/>
          <w:sz w:val="21"/>
          <w:szCs w:val="21"/>
        </w:rPr>
      </w:pPr>
      <w:r>
        <w:rPr>
          <w:rStyle w:val="15"/>
          <w:rFonts w:hint="eastAsia" w:cs="Times New Roman"/>
          <w:color w:val="444444"/>
          <w:sz w:val="21"/>
          <w:szCs w:val="21"/>
        </w:rPr>
        <w:t>1.13 低亮高灰、刷新率:≥1920/3840Hz</w:t>
      </w:r>
    </w:p>
    <w:p w14:paraId="08814DAB">
      <w:pPr>
        <w:pStyle w:val="8"/>
        <w:spacing w:line="240" w:lineRule="atLeast"/>
        <w:ind w:left="-141" w:leftChars="-67" w:firstLine="210" w:firstLineChars="100"/>
        <w:rPr>
          <w:rStyle w:val="15"/>
          <w:rFonts w:hint="eastAsia" w:cs="Times New Roman"/>
          <w:color w:val="444444"/>
          <w:sz w:val="21"/>
          <w:szCs w:val="21"/>
        </w:rPr>
      </w:pPr>
      <w:r>
        <w:rPr>
          <w:rStyle w:val="15"/>
          <w:rFonts w:hint="eastAsia" w:cs="Times New Roman"/>
          <w:color w:val="444444"/>
          <w:sz w:val="21"/>
          <w:szCs w:val="21"/>
        </w:rPr>
        <w:t>1.14 换帧频率：≥60 Hz。</w:t>
      </w:r>
    </w:p>
    <w:p w14:paraId="638D4F24">
      <w:pPr>
        <w:pStyle w:val="8"/>
        <w:spacing w:line="240" w:lineRule="atLeast"/>
        <w:ind w:left="-141" w:leftChars="-67" w:firstLine="210" w:firstLineChars="100"/>
        <w:rPr>
          <w:rStyle w:val="15"/>
          <w:rFonts w:hint="eastAsia" w:cs="Times New Roman"/>
          <w:color w:val="444444"/>
          <w:sz w:val="21"/>
          <w:szCs w:val="21"/>
        </w:rPr>
      </w:pPr>
      <w:r>
        <w:rPr>
          <w:rStyle w:val="15"/>
          <w:rFonts w:hint="eastAsia" w:cs="Times New Roman"/>
          <w:color w:val="444444"/>
          <w:sz w:val="21"/>
          <w:szCs w:val="21"/>
        </w:rPr>
        <w:t>1.15 屏体色温：9600-12500 可调</w:t>
      </w:r>
    </w:p>
    <w:p w14:paraId="3F2216DB">
      <w:pPr>
        <w:pStyle w:val="8"/>
        <w:spacing w:line="240" w:lineRule="atLeast"/>
        <w:ind w:left="-141" w:leftChars="-67" w:firstLine="210" w:firstLineChars="100"/>
        <w:rPr>
          <w:rStyle w:val="15"/>
          <w:rFonts w:hint="eastAsia" w:cs="Times New Roman"/>
          <w:color w:val="444444"/>
          <w:sz w:val="21"/>
          <w:szCs w:val="21"/>
        </w:rPr>
      </w:pPr>
      <w:r>
        <w:rPr>
          <w:rStyle w:val="15"/>
          <w:rFonts w:hint="eastAsia" w:cs="Times New Roman"/>
          <w:color w:val="444444"/>
          <w:sz w:val="21"/>
          <w:szCs w:val="21"/>
        </w:rPr>
        <w:t>1.16 矫正：256 级手动/自动</w:t>
      </w:r>
    </w:p>
    <w:p w14:paraId="6A04E97B">
      <w:pPr>
        <w:pStyle w:val="8"/>
        <w:spacing w:line="240" w:lineRule="atLeast"/>
        <w:ind w:left="-141" w:leftChars="-67" w:firstLine="210" w:firstLineChars="100"/>
        <w:rPr>
          <w:rStyle w:val="15"/>
          <w:rFonts w:hint="eastAsia" w:cs="Times New Roman"/>
          <w:color w:val="444444"/>
          <w:sz w:val="21"/>
          <w:szCs w:val="21"/>
        </w:rPr>
      </w:pPr>
      <w:r>
        <w:rPr>
          <w:rStyle w:val="15"/>
          <w:rFonts w:hint="eastAsia" w:cs="Times New Roman"/>
          <w:color w:val="444444"/>
          <w:sz w:val="21"/>
          <w:szCs w:val="21"/>
        </w:rPr>
        <w:t>1.17 峰值功率：≤781w/m²</w:t>
      </w:r>
    </w:p>
    <w:p w14:paraId="597E0127">
      <w:pPr>
        <w:pStyle w:val="8"/>
        <w:spacing w:line="240" w:lineRule="atLeast"/>
        <w:ind w:left="489" w:leftChars="33" w:hanging="420" w:hangingChars="200"/>
        <w:rPr>
          <w:rStyle w:val="15"/>
          <w:rFonts w:hint="eastAsia" w:cs="Times New Roman"/>
          <w:color w:val="444444"/>
          <w:sz w:val="21"/>
          <w:szCs w:val="21"/>
        </w:rPr>
      </w:pPr>
      <w:r>
        <w:rPr>
          <w:rStyle w:val="15"/>
          <w:rFonts w:hint="eastAsia" w:cs="Times New Roman"/>
          <w:color w:val="444444"/>
          <w:sz w:val="21"/>
          <w:szCs w:val="21"/>
        </w:rPr>
        <w:t>1.18 工作电压：单板供电要求（V）） 4.5-5.0V、单元板功率 ≤40W、最大电流 7.7±0.3A</w:t>
      </w:r>
    </w:p>
    <w:p w14:paraId="51FF1D78">
      <w:pPr>
        <w:pStyle w:val="8"/>
        <w:spacing w:line="240" w:lineRule="atLeast"/>
        <w:ind w:left="-141" w:leftChars="-67" w:firstLine="210" w:firstLineChars="100"/>
        <w:rPr>
          <w:rStyle w:val="15"/>
          <w:rFonts w:hint="eastAsia" w:cs="Times New Roman"/>
          <w:color w:val="444444"/>
          <w:sz w:val="21"/>
          <w:szCs w:val="21"/>
        </w:rPr>
      </w:pPr>
      <w:r>
        <w:rPr>
          <w:rStyle w:val="15"/>
          <w:rFonts w:hint="eastAsia" w:cs="Times New Roman"/>
          <w:color w:val="444444"/>
          <w:sz w:val="21"/>
          <w:szCs w:val="21"/>
        </w:rPr>
        <w:t>1.19 LED典型寿命:理论使用寿命 ≥10 万小时 平均无故障时间 ≥1 万小时</w:t>
      </w:r>
    </w:p>
    <w:p w14:paraId="431A5870">
      <w:pPr>
        <w:pStyle w:val="8"/>
        <w:spacing w:line="240" w:lineRule="atLeast"/>
        <w:ind w:left="-141" w:leftChars="-67" w:firstLine="210" w:firstLineChars="100"/>
        <w:rPr>
          <w:rStyle w:val="15"/>
          <w:rFonts w:hint="eastAsia" w:cs="Times New Roman"/>
          <w:color w:val="444444"/>
          <w:sz w:val="21"/>
          <w:szCs w:val="21"/>
        </w:rPr>
      </w:pPr>
      <w:r>
        <w:rPr>
          <w:rStyle w:val="15"/>
          <w:rFonts w:hint="eastAsia" w:cs="Times New Roman"/>
          <w:color w:val="444444"/>
          <w:sz w:val="21"/>
          <w:szCs w:val="21"/>
        </w:rPr>
        <w:t>1.20 运行环境温度:-20 至 50℃</w:t>
      </w:r>
    </w:p>
    <w:p w14:paraId="7EDA89B7">
      <w:pPr>
        <w:pStyle w:val="8"/>
        <w:spacing w:line="240" w:lineRule="atLeast"/>
        <w:ind w:left="-141" w:leftChars="-67" w:firstLine="210" w:firstLineChars="100"/>
        <w:rPr>
          <w:rFonts w:cs="Times New Roman"/>
          <w:color w:val="444444"/>
          <w:sz w:val="21"/>
          <w:szCs w:val="21"/>
        </w:rPr>
      </w:pPr>
      <w:r>
        <w:rPr>
          <w:rStyle w:val="15"/>
          <w:rFonts w:hint="eastAsia" w:cs="Times New Roman"/>
          <w:color w:val="444444"/>
          <w:sz w:val="21"/>
          <w:szCs w:val="21"/>
        </w:rPr>
        <w:t>1.21 运行环境湿度：10%RH -90%RH</w:t>
      </w:r>
    </w:p>
    <w:p w14:paraId="31DF45B1">
      <w:pPr>
        <w:spacing w:line="360" w:lineRule="auto"/>
        <w:ind w:left="-141" w:leftChars="-67"/>
        <w:jc w:val="left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2.视频处理器多媒体综合业务显示系统要求：</w:t>
      </w:r>
    </w:p>
    <w:p w14:paraId="5D815DF5">
      <w:pPr>
        <w:spacing w:line="360" w:lineRule="auto"/>
        <w:ind w:left="-141" w:leftChars="-67" w:firstLine="210" w:firstLineChars="100"/>
        <w:jc w:val="left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2.1 二合一视频处理器。发送+视频处理。</w:t>
      </w:r>
    </w:p>
    <w:p w14:paraId="46FE64DB">
      <w:pPr>
        <w:spacing w:line="360" w:lineRule="auto"/>
        <w:ind w:left="-141" w:leftChars="-67" w:firstLine="210" w:firstLineChars="100"/>
        <w:jc w:val="left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2.2 8个千兆网口输出。</w:t>
      </w:r>
    </w:p>
    <w:p w14:paraId="28701222">
      <w:pPr>
        <w:spacing w:line="360" w:lineRule="auto"/>
        <w:ind w:left="-141" w:leftChars="-67" w:firstLine="210" w:firstLineChars="100"/>
        <w:jc w:val="left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2.3 最大带载1048万像素，最宽8192点，最高4096点。</w:t>
      </w:r>
    </w:p>
    <w:p w14:paraId="6E745D64">
      <w:pPr>
        <w:spacing w:line="360" w:lineRule="auto"/>
        <w:ind w:left="-141" w:leftChars="-67" w:firstLine="210" w:firstLineChars="100"/>
        <w:jc w:val="left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2.4 三画面布局。</w:t>
      </w:r>
    </w:p>
    <w:p w14:paraId="012FCAA1">
      <w:pPr>
        <w:spacing w:line="360" w:lineRule="auto"/>
        <w:ind w:left="489" w:leftChars="33" w:hanging="420" w:hangingChars="200"/>
        <w:jc w:val="left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2.5 1路HDMI1.4输入，2路DVI输入，1路SDI输入，最大输入分辨率1920×1 200@60Hz。</w:t>
      </w:r>
    </w:p>
    <w:p w14:paraId="217D3B5C">
      <w:pPr>
        <w:spacing w:line="360" w:lineRule="auto"/>
        <w:ind w:left="-141" w:leftChars="-67" w:firstLine="210" w:firstLineChars="100"/>
        <w:jc w:val="left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2.6 控制方式：前面板按键/USB接口上位机/232接口协议对接。</w:t>
      </w:r>
    </w:p>
    <w:p w14:paraId="3F6B6849">
      <w:pPr>
        <w:spacing w:line="360" w:lineRule="auto"/>
        <w:ind w:left="-141" w:leftChars="-67" w:firstLine="210" w:firstLineChars="100"/>
        <w:jc w:val="left"/>
        <w:rPr>
          <w:rFonts w:ascii="宋体" w:hAnsi="宋体" w:eastAsia="宋体" w:cs="宋体"/>
          <w:szCs w:val="21"/>
        </w:rPr>
      </w:pPr>
      <w:bookmarkStart w:id="3" w:name="OLE_LINK7"/>
      <w:r>
        <w:rPr>
          <w:rFonts w:hint="eastAsia" w:ascii="宋体" w:hAnsi="宋体" w:eastAsia="宋体" w:cs="宋体"/>
          <w:szCs w:val="21"/>
        </w:rPr>
        <w:t>2.7</w:t>
      </w:r>
      <w:bookmarkEnd w:id="3"/>
      <w:r>
        <w:rPr>
          <w:rFonts w:hint="eastAsia" w:ascii="宋体" w:hAnsi="宋体" w:eastAsia="宋体" w:cs="宋体"/>
          <w:szCs w:val="21"/>
        </w:rPr>
        <w:t xml:space="preserve"> 1U机箱，AC100-240V电源输入。</w:t>
      </w:r>
    </w:p>
    <w:p w14:paraId="5C561F5B">
      <w:pPr>
        <w:spacing w:line="360" w:lineRule="auto"/>
        <w:ind w:left="-141" w:leftChars="-67" w:firstLine="210" w:firstLineChars="100"/>
        <w:jc w:val="left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2.8系统需支持各类素材的分类管理，格式转换灵活，可对素材进行预览</w:t>
      </w:r>
    </w:p>
    <w:p w14:paraId="6EFDD387">
      <w:pPr>
        <w:spacing w:line="360" w:lineRule="auto"/>
        <w:ind w:left="489" w:leftChars="33" w:hanging="420" w:hangingChars="200"/>
        <w:jc w:val="left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2.9 需支持提供常规节目模板库，同时管理员可自行设计制作模板，或在模板基础上进行定制修改形成新的模板，可以保存、复用；可以导入导出节目模板</w:t>
      </w:r>
    </w:p>
    <w:p w14:paraId="1AA8CA59">
      <w:pPr>
        <w:spacing w:line="360" w:lineRule="auto"/>
        <w:ind w:left="489" w:leftChars="33" w:hanging="420" w:hangingChars="200"/>
        <w:jc w:val="left"/>
        <w:rPr>
          <w:rFonts w:hint="default" w:ascii="宋体" w:hAnsi="宋体" w:eastAsia="宋体" w:cs="宋体"/>
          <w:szCs w:val="21"/>
          <w:lang w:val="en-US" w:eastAsia="zh-CN"/>
        </w:rPr>
      </w:pPr>
      <w:r>
        <w:rPr>
          <w:rStyle w:val="15"/>
          <w:rFonts w:hint="eastAsia" w:asciiTheme="minorEastAsia" w:hAnsiTheme="minorEastAsia" w:eastAsiaTheme="minorEastAsia"/>
          <w:sz w:val="21"/>
          <w:szCs w:val="21"/>
          <w:highlight w:val="yellow"/>
          <w:lang w:val="en-US" w:eastAsia="zh-CN"/>
        </w:rPr>
        <w:t>*</w:t>
      </w:r>
      <w:r>
        <w:rPr>
          <w:rFonts w:hint="eastAsia" w:ascii="宋体" w:hAnsi="宋体" w:eastAsia="宋体" w:cs="宋体"/>
          <w:szCs w:val="21"/>
        </w:rPr>
        <w:t>2.</w:t>
      </w:r>
      <w:r>
        <w:rPr>
          <w:rFonts w:hint="eastAsia" w:ascii="宋体" w:hAnsi="宋体" w:eastAsia="宋体" w:cs="宋体"/>
          <w:szCs w:val="21"/>
          <w:lang w:val="en-US" w:eastAsia="zh-CN"/>
        </w:rPr>
        <w:t>10</w:t>
      </w:r>
      <w:r>
        <w:rPr>
          <w:rFonts w:hint="eastAsia" w:ascii="宋体" w:hAnsi="宋体" w:eastAsia="宋体" w:cs="宋体"/>
          <w:szCs w:val="21"/>
        </w:rPr>
        <w:t xml:space="preserve"> 系统需支持智能化、视频化健康教育功能，可实现通过本次招标中的任意终端设备，提供患者健康教育视频服务功能，支持患者移动端设备如手机访问及使用，可访问云端服务器实现宣教内容的交互式点播查看。系统后台的操作内容主要包括：视频管理、分类管理、科室管理、播放量统计等相关功能。同时需提供具有无版权争议的健康宣教视频不少于200部，每部时长约3-6分钟，需包含病症、病因、诊断、预防等内容</w:t>
      </w:r>
      <w:r>
        <w:rPr>
          <w:rFonts w:hint="eastAsia" w:ascii="宋体" w:hAnsi="宋体" w:eastAsia="宋体" w:cs="宋体"/>
          <w:szCs w:val="21"/>
          <w:lang w:eastAsia="zh-CN"/>
        </w:rPr>
        <w:t>，</w:t>
      </w:r>
      <w:r>
        <w:rPr>
          <w:rFonts w:hint="eastAsia" w:ascii="宋体" w:hAnsi="宋体" w:eastAsia="宋体" w:cs="宋体"/>
          <w:szCs w:val="21"/>
          <w:highlight w:val="yellow"/>
          <w:lang w:val="en-US" w:eastAsia="zh-CN"/>
        </w:rPr>
        <w:t>并且这些内容需符合我院宣传教育要求。</w:t>
      </w:r>
    </w:p>
    <w:p w14:paraId="586765D0">
      <w:pPr>
        <w:spacing w:line="360" w:lineRule="auto"/>
        <w:ind w:left="489" w:leftChars="33" w:hanging="420" w:hangingChars="200"/>
        <w:jc w:val="left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2.</w:t>
      </w:r>
      <w:r>
        <w:rPr>
          <w:rFonts w:hint="eastAsia" w:ascii="宋体" w:hAnsi="宋体" w:eastAsia="宋体" w:cs="宋体"/>
          <w:szCs w:val="21"/>
          <w:lang w:val="en-US" w:eastAsia="zh-CN"/>
        </w:rPr>
        <w:t>11</w:t>
      </w:r>
      <w:r>
        <w:rPr>
          <w:rFonts w:ascii="宋体" w:hAnsi="宋体" w:eastAsia="宋体" w:cs="宋体"/>
          <w:szCs w:val="21"/>
        </w:rPr>
        <w:t>系统需支持跑马灯管理，可对跑马灯进行新建、修改、删除、发布、停止、样式修改等日常管理操作；</w:t>
      </w:r>
      <w:r>
        <w:rPr>
          <w:rFonts w:hint="eastAsia" w:ascii="宋体" w:hAnsi="宋体" w:eastAsia="宋体" w:cs="宋体"/>
          <w:szCs w:val="21"/>
        </w:rPr>
        <w:t xml:space="preserve"> </w:t>
      </w:r>
    </w:p>
    <w:p w14:paraId="11B9C038">
      <w:pPr>
        <w:spacing w:line="360" w:lineRule="auto"/>
        <w:ind w:left="-141" w:leftChars="-67" w:firstLine="210" w:firstLineChars="100"/>
        <w:jc w:val="left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2.</w:t>
      </w:r>
      <w:r>
        <w:rPr>
          <w:rFonts w:hint="eastAsia" w:ascii="宋体" w:hAnsi="宋体" w:eastAsia="宋体" w:cs="宋体"/>
          <w:szCs w:val="21"/>
          <w:lang w:val="en-US" w:eastAsia="zh-CN"/>
        </w:rPr>
        <w:t>12</w:t>
      </w:r>
      <w:r>
        <w:rPr>
          <w:rFonts w:hint="eastAsia" w:ascii="宋体" w:hAnsi="宋体" w:eastAsia="宋体" w:cs="宋体"/>
          <w:szCs w:val="21"/>
        </w:rPr>
        <w:t xml:space="preserve"> 需支持发布公共宣教信息、党建宣传等内容</w:t>
      </w:r>
    </w:p>
    <w:p w14:paraId="1E0FEE27">
      <w:pPr>
        <w:spacing w:line="360" w:lineRule="auto"/>
        <w:ind w:left="-141" w:leftChars="-67" w:firstLine="210" w:firstLineChars="100"/>
        <w:jc w:val="left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2.</w:t>
      </w:r>
      <w:r>
        <w:rPr>
          <w:rFonts w:hint="eastAsia" w:ascii="宋体" w:hAnsi="宋体" w:eastAsia="宋体" w:cs="宋体"/>
          <w:szCs w:val="21"/>
          <w:lang w:val="en-US" w:eastAsia="zh-CN"/>
        </w:rPr>
        <w:t>13</w:t>
      </w:r>
      <w:r>
        <w:rPr>
          <w:rFonts w:hint="eastAsia" w:ascii="宋体" w:hAnsi="宋体" w:eastAsia="宋体" w:cs="宋体"/>
          <w:szCs w:val="21"/>
        </w:rPr>
        <w:t xml:space="preserve"> 系统需支持与我院现有的多媒体医疗宣教系统无缝对接</w:t>
      </w:r>
    </w:p>
    <w:p w14:paraId="642FFE6B">
      <w:pPr>
        <w:spacing w:line="360" w:lineRule="auto"/>
        <w:ind w:left="279" w:leftChars="33" w:hanging="210" w:hangingChars="100"/>
        <w:jc w:val="left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2.</w:t>
      </w:r>
      <w:r>
        <w:rPr>
          <w:rFonts w:hint="eastAsia" w:ascii="宋体" w:hAnsi="宋体" w:eastAsia="宋体" w:cs="宋体"/>
          <w:szCs w:val="21"/>
          <w:lang w:val="en-US" w:eastAsia="zh-CN"/>
        </w:rPr>
        <w:t>14</w:t>
      </w:r>
      <w:r>
        <w:rPr>
          <w:rFonts w:hint="eastAsia" w:ascii="宋体" w:hAnsi="宋体" w:eastAsia="宋体" w:cs="宋体"/>
          <w:szCs w:val="21"/>
        </w:rPr>
        <w:t>系统需支持播出单审核功能：系统具备播出单审核与预览功能，操作员编辑后的播出单，需要通过对应的审核员进行审核，审核后的播出单才能进行发布，审核部通过的进行打回，通过站内消息通知操作员</w:t>
      </w:r>
    </w:p>
    <w:p w14:paraId="1DB87D8B">
      <w:pPr>
        <w:spacing w:line="360" w:lineRule="auto"/>
        <w:ind w:left="279" w:leftChars="33" w:hanging="210" w:hangingChars="100"/>
        <w:jc w:val="left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2.</w:t>
      </w:r>
      <w:r>
        <w:rPr>
          <w:rFonts w:hint="eastAsia" w:ascii="宋体" w:hAnsi="宋体" w:eastAsia="宋体" w:cs="宋体"/>
          <w:szCs w:val="21"/>
          <w:lang w:val="en-US" w:eastAsia="zh-CN"/>
        </w:rPr>
        <w:t>15</w:t>
      </w:r>
      <w:r>
        <w:rPr>
          <w:rFonts w:hint="eastAsia" w:ascii="宋体" w:hAnsi="宋体" w:eastAsia="宋体" w:cs="宋体"/>
          <w:szCs w:val="21"/>
        </w:rPr>
        <w:t>系统需支持多种播出方式：自动播出、定时播出、即时插播、多时段播出等。即时插播，将插播的内容设定完成，立即派送到指定的单个或多个客户端，系统将插播节目规划及多媒体内容下载到各个指定的客户端，并纪录传送结果。客户端成功接收后立即播放插播节目，插播节目结束后恢复执行原来的节目表。</w:t>
      </w:r>
    </w:p>
    <w:p w14:paraId="7A003CD9">
      <w:pPr>
        <w:pStyle w:val="2"/>
        <w:rPr>
          <w:rFonts w:hint="default" w:eastAsia="宋体"/>
          <w:highlight w:val="yellow"/>
          <w:lang w:val="en-US" w:eastAsia="zh-CN"/>
        </w:rPr>
      </w:pPr>
      <w:r>
        <w:rPr>
          <w:rStyle w:val="15"/>
          <w:rFonts w:hint="eastAsia" w:asciiTheme="minorEastAsia" w:hAnsiTheme="minorEastAsia" w:eastAsiaTheme="minorEastAsia"/>
          <w:sz w:val="21"/>
          <w:szCs w:val="21"/>
          <w:highlight w:val="yellow"/>
          <w:lang w:val="en-US" w:eastAsia="zh-CN"/>
        </w:rPr>
        <w:t>*</w:t>
      </w:r>
      <w:r>
        <w:rPr>
          <w:rFonts w:hint="eastAsia" w:ascii="宋体" w:hAnsi="宋体" w:eastAsia="宋体" w:cs="宋体"/>
          <w:szCs w:val="21"/>
          <w:highlight w:val="yellow"/>
          <w:lang w:val="en-US" w:eastAsia="zh-CN"/>
        </w:rPr>
        <w:t>2.16 系统与设备</w:t>
      </w:r>
      <w:r>
        <w:rPr>
          <w:rFonts w:hint="eastAsia" w:ascii="宋体" w:hAnsi="宋体" w:eastAsia="宋体" w:cs="宋体"/>
          <w:szCs w:val="21"/>
          <w:highlight w:val="yellow"/>
        </w:rPr>
        <w:t>支持与我院现有的</w:t>
      </w:r>
      <w:r>
        <w:rPr>
          <w:rFonts w:hint="eastAsia" w:ascii="宋体" w:hAnsi="宋体" w:eastAsia="宋体" w:cs="宋体"/>
          <w:szCs w:val="21"/>
          <w:highlight w:val="yellow"/>
          <w:lang w:val="en-US" w:eastAsia="zh-CN"/>
        </w:rPr>
        <w:t>信息系统</w:t>
      </w:r>
      <w:r>
        <w:rPr>
          <w:rFonts w:hint="eastAsia" w:ascii="宋体" w:hAnsi="宋体" w:eastAsia="宋体" w:cs="宋体"/>
          <w:szCs w:val="21"/>
          <w:highlight w:val="yellow"/>
        </w:rPr>
        <w:t>无缝对接</w:t>
      </w:r>
      <w:r>
        <w:rPr>
          <w:rFonts w:hint="eastAsia" w:ascii="宋体" w:hAnsi="宋体" w:eastAsia="宋体" w:cs="宋体"/>
          <w:szCs w:val="21"/>
          <w:highlight w:val="yellow"/>
          <w:lang w:eastAsia="zh-CN"/>
        </w:rPr>
        <w:t>，</w:t>
      </w:r>
      <w:r>
        <w:rPr>
          <w:rFonts w:hint="eastAsia" w:ascii="宋体" w:hAnsi="宋体" w:eastAsia="宋体" w:cs="宋体"/>
          <w:szCs w:val="21"/>
          <w:highlight w:val="yellow"/>
          <w:lang w:val="en-US" w:eastAsia="zh-CN"/>
        </w:rPr>
        <w:t>并且报价包含接口建设费用与其他整改费用。</w:t>
      </w:r>
    </w:p>
    <w:p w14:paraId="168C8B05">
      <w:pPr>
        <w:spacing w:line="360" w:lineRule="auto"/>
        <w:ind w:left="-141" w:leftChars="-67"/>
        <w:jc w:val="left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3.</w:t>
      </w:r>
      <w:r>
        <w:rPr>
          <w:rFonts w:hint="eastAsia" w:ascii="宋体" w:hAnsi="宋体" w:eastAsia="宋体"/>
          <w:color w:val="000000"/>
          <w:szCs w:val="21"/>
        </w:rPr>
        <w:t>多媒体终端</w:t>
      </w:r>
      <w:r>
        <w:rPr>
          <w:rFonts w:hint="eastAsia" w:ascii="宋体" w:hAnsi="宋体" w:eastAsia="宋体" w:cs="宋体"/>
          <w:color w:val="000000"/>
          <w:szCs w:val="21"/>
        </w:rPr>
        <w:t>终端</w:t>
      </w:r>
    </w:p>
    <w:p w14:paraId="28BDF1C5">
      <w:pPr>
        <w:spacing w:line="360" w:lineRule="auto"/>
        <w:ind w:left="-141" w:leftChars="-67" w:firstLine="210" w:firstLineChars="100"/>
        <w:jc w:val="left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3.1</w:t>
      </w:r>
      <w:r>
        <w:rPr>
          <w:rFonts w:hint="eastAsia" w:ascii="宋体" w:hAnsi="宋体" w:eastAsia="宋体" w:cs="宋体"/>
          <w:szCs w:val="21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Cs w:val="21"/>
        </w:rPr>
        <w:t>CPU： 不低于四核 ARM 64 位 Cortex-A55 架构 主频100MHz- 1.91GHz</w:t>
      </w:r>
    </w:p>
    <w:p w14:paraId="19F0D9D3">
      <w:pPr>
        <w:spacing w:line="360" w:lineRule="auto"/>
        <w:ind w:left="-141" w:leftChars="-67" w:firstLine="210" w:firstLineChars="100"/>
        <w:jc w:val="left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3.2 GPU： 不低于Mali-G31 * 1</w:t>
      </w:r>
    </w:p>
    <w:p w14:paraId="47E14387">
      <w:pPr>
        <w:spacing w:line="360" w:lineRule="auto"/>
        <w:ind w:left="-141" w:leftChars="-67" w:firstLine="210" w:firstLineChars="100"/>
        <w:jc w:val="left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3.3 内存：不低于2GB</w:t>
      </w:r>
    </w:p>
    <w:p w14:paraId="27E85DA6">
      <w:pPr>
        <w:spacing w:line="360" w:lineRule="auto"/>
        <w:ind w:left="-141" w:leftChars="-67" w:firstLine="210" w:firstLineChars="100"/>
        <w:jc w:val="left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 xml:space="preserve">3.4 存储：不低于eMMC 3.8GB </w:t>
      </w:r>
    </w:p>
    <w:p w14:paraId="185D6759">
      <w:pPr>
        <w:spacing w:line="360" w:lineRule="auto"/>
        <w:ind w:left="-141" w:leftChars="-67" w:firstLine="210" w:firstLineChars="100"/>
        <w:jc w:val="left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3.5 系统：需支持安卓9.0</w:t>
      </w:r>
    </w:p>
    <w:p w14:paraId="52528418">
      <w:pPr>
        <w:spacing w:line="360" w:lineRule="auto"/>
        <w:ind w:left="-141" w:leftChars="-67" w:firstLine="210" w:firstLineChars="100"/>
        <w:jc w:val="left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3.6 支持分辨率：不低于3840*2180</w:t>
      </w:r>
    </w:p>
    <w:p w14:paraId="42A2607D">
      <w:pPr>
        <w:spacing w:line="360" w:lineRule="auto"/>
        <w:ind w:left="-141" w:leftChars="-67" w:firstLine="210" w:firstLineChars="100"/>
        <w:jc w:val="left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 xml:space="preserve">3.7 视频接口：需支持HDMI/AV </w:t>
      </w:r>
    </w:p>
    <w:p w14:paraId="6A5C7818">
      <w:pPr>
        <w:spacing w:line="360" w:lineRule="auto"/>
        <w:ind w:left="-141" w:leftChars="-67" w:firstLine="210" w:firstLineChars="100"/>
        <w:jc w:val="left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3.8 音频接口：需支持3.5接口</w:t>
      </w:r>
    </w:p>
    <w:p w14:paraId="78782501">
      <w:pPr>
        <w:spacing w:line="360" w:lineRule="auto"/>
        <w:ind w:left="-141" w:leftChars="-67" w:firstLine="210" w:firstLineChars="100"/>
        <w:jc w:val="left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3.9 数据接口：需支持USB2.0/USB3.0</w:t>
      </w:r>
    </w:p>
    <w:p w14:paraId="343093F8">
      <w:pPr>
        <w:spacing w:line="360" w:lineRule="auto"/>
        <w:ind w:left="-141" w:leftChars="-67" w:firstLine="210" w:firstLineChars="100"/>
        <w:jc w:val="left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 xml:space="preserve">3.10 通信接口：需支持RJ45(100Mbps)    </w:t>
      </w:r>
    </w:p>
    <w:p w14:paraId="46A96DA1">
      <w:pPr>
        <w:spacing w:line="360" w:lineRule="auto"/>
        <w:ind w:left="-141" w:leftChars="-67" w:firstLine="210" w:firstLineChars="100"/>
        <w:jc w:val="left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3.11 TF卡槽：需支持1</w:t>
      </w:r>
    </w:p>
    <w:p w14:paraId="6CDF9FD7">
      <w:pPr>
        <w:spacing w:line="360" w:lineRule="auto"/>
        <w:ind w:left="-141" w:leftChars="-67" w:firstLine="210" w:firstLineChars="100"/>
        <w:jc w:val="left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3.12 音频解码器: 需支持MP3/WMA/AAC/WAV/OGG/DDP/TrueHD/HD/FLAC/APE</w:t>
      </w:r>
    </w:p>
    <w:p w14:paraId="5A03D997">
      <w:pPr>
        <w:spacing w:line="360" w:lineRule="auto"/>
        <w:ind w:left="489" w:leftChars="33" w:hanging="420" w:hangingChars="200"/>
        <w:jc w:val="left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3.13 视频解码器:需支持VP9/H.265/AVS2 up to 4Kx2K@60fps,H.264 4K @30fps, AVS+/VC-1/MPEG1-4 1080P @60fps</w:t>
      </w:r>
    </w:p>
    <w:p w14:paraId="60BF51A4">
      <w:pPr>
        <w:spacing w:line="360" w:lineRule="auto"/>
        <w:ind w:left="-141" w:leftChars="-67" w:firstLine="210" w:firstLineChars="100"/>
        <w:jc w:val="left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3.14 图片格式：需支持HD JPEG/BMP/GIF/PNG/TIFF</w:t>
      </w:r>
    </w:p>
    <w:p w14:paraId="26ABEDFA">
      <w:pPr>
        <w:pStyle w:val="16"/>
        <w:numPr>
          <w:ilvl w:val="1"/>
          <w:numId w:val="3"/>
        </w:numPr>
        <w:spacing w:line="360" w:lineRule="auto"/>
        <w:ind w:firstLineChars="0"/>
        <w:jc w:val="left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整机额定功率：≤10W</w:t>
      </w:r>
    </w:p>
    <w:p w14:paraId="13F1F291">
      <w:pPr>
        <w:pStyle w:val="16"/>
        <w:numPr>
          <w:ilvl w:val="1"/>
          <w:numId w:val="3"/>
        </w:numPr>
        <w:spacing w:line="360" w:lineRule="auto"/>
        <w:ind w:firstLineChars="0"/>
        <w:jc w:val="left"/>
      </w:pPr>
      <w:r>
        <w:rPr>
          <w:rFonts w:hint="eastAsia" w:ascii="宋体" w:hAnsi="宋体" w:eastAsia="宋体" w:cs="宋体"/>
          <w:szCs w:val="21"/>
        </w:rPr>
        <w:t>待机功率：≤0.5W</w:t>
      </w:r>
    </w:p>
    <w:p w14:paraId="1B589678">
      <w:pPr>
        <w:widowControl/>
        <w:spacing w:line="360" w:lineRule="auto"/>
        <w:ind w:left="-141" w:leftChars="-67"/>
        <w:jc w:val="left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4．安装工程含设备安装调试：</w:t>
      </w:r>
    </w:p>
    <w:p w14:paraId="3D5F167C">
      <w:pPr>
        <w:widowControl/>
        <w:spacing w:line="360" w:lineRule="auto"/>
        <w:ind w:left="279" w:leftChars="33" w:hanging="210" w:hangingChars="100"/>
        <w:jc w:val="left"/>
        <w:rPr>
          <w:rFonts w:ascii="宋体" w:hAnsi="宋体" w:cs="宋体"/>
          <w:color w:val="FF0000"/>
          <w:sz w:val="24"/>
        </w:rPr>
      </w:pPr>
      <w:r>
        <w:rPr>
          <w:rFonts w:hint="eastAsia" w:ascii="宋体" w:hAnsi="宋体" w:eastAsia="宋体" w:cs="宋体"/>
          <w:szCs w:val="21"/>
        </w:rPr>
        <w:t>4.1 综合布线：主电源线380V进线PLC配电箱： 4*6+4mm²（3火1零1地） ，数量：1；220V电源线 配电箱出线到大屏： 3*2.5mm² （1火1零1地） ，数量：15；220V电源线视频处理器（炫彩之星终端） ：3*2.5mm² （1火1零1地） ，数量：1；交换机到配电箱网线：六类或超五类，数量：1；交换机到视频处理器（炫彩之星终端）网线：六类或超五类，数量：1。</w:t>
      </w:r>
      <w:r>
        <w:rPr>
          <w:rFonts w:ascii="宋体" w:hAnsi="宋体" w:cs="宋体"/>
          <w:color w:val="FF0000"/>
          <w:sz w:val="24"/>
        </w:rPr>
        <w:t xml:space="preserve"> </w:t>
      </w:r>
    </w:p>
    <w:p w14:paraId="7B57C1F7">
      <w:pPr>
        <w:widowControl/>
        <w:spacing w:line="360" w:lineRule="auto"/>
        <w:ind w:left="279" w:leftChars="33" w:hanging="210" w:hangingChars="100"/>
        <w:jc w:val="left"/>
        <w:rPr>
          <w:rFonts w:hint="eastAsia" w:ascii="宋体" w:hAnsi="宋体" w:eastAsia="宋体" w:cs="宋体"/>
          <w:szCs w:val="21"/>
          <w:highlight w:val="yellow"/>
          <w:lang w:val="en-US" w:eastAsia="zh-CN"/>
        </w:rPr>
      </w:pPr>
      <w:r>
        <w:rPr>
          <w:rStyle w:val="15"/>
          <w:rFonts w:hint="eastAsia" w:asciiTheme="minorEastAsia" w:hAnsiTheme="minorEastAsia" w:eastAsiaTheme="minorEastAsia"/>
          <w:sz w:val="21"/>
          <w:szCs w:val="21"/>
          <w:highlight w:val="yellow"/>
          <w:lang w:val="en-US" w:eastAsia="zh-CN"/>
        </w:rPr>
        <w:t>*</w:t>
      </w:r>
      <w:r>
        <w:rPr>
          <w:rFonts w:hint="eastAsia" w:ascii="宋体" w:hAnsi="宋体" w:eastAsia="宋体" w:cs="宋体"/>
          <w:szCs w:val="21"/>
          <w:highlight w:val="yellow"/>
          <w:lang w:val="en-US" w:eastAsia="zh-CN"/>
        </w:rPr>
        <w:t>4.2 具体的安装调试，以实地实际情况为准，供应商自行承担并完成这这一模块的工作。</w:t>
      </w:r>
    </w:p>
    <w:p w14:paraId="521CAB26">
      <w:pPr>
        <w:pStyle w:val="2"/>
        <w:rPr>
          <w:rFonts w:hint="default"/>
          <w:highlight w:val="none"/>
          <w:lang w:val="en-US" w:eastAsia="zh-CN"/>
        </w:rPr>
      </w:pPr>
      <w:r>
        <w:rPr>
          <w:rFonts w:hint="eastAsia" w:ascii="宋体" w:hAnsi="宋体" w:eastAsia="宋体" w:cs="宋体"/>
          <w:szCs w:val="21"/>
          <w:highlight w:val="none"/>
          <w:lang w:val="en-US" w:eastAsia="zh-CN"/>
        </w:rPr>
        <w:t>（三）其它要求：</w:t>
      </w:r>
    </w:p>
    <w:p w14:paraId="31F5CF83">
      <w:pPr>
        <w:pStyle w:val="3"/>
        <w:numPr>
          <w:ilvl w:val="0"/>
          <w:numId w:val="4"/>
        </w:numPr>
        <w:spacing w:before="0" w:after="0" w:line="360" w:lineRule="auto"/>
        <w:ind w:left="360" w:hanging="360"/>
        <w:rPr>
          <w:rFonts w:cs="宋体" w:asciiTheme="minorEastAsia" w:hAnsiTheme="minorEastAsia" w:eastAsiaTheme="minorEastAsia"/>
          <w:sz w:val="21"/>
          <w:szCs w:val="21"/>
          <w:highlight w:val="none"/>
        </w:rPr>
      </w:pPr>
      <w:bookmarkStart w:id="4" w:name="_Toc230700152"/>
      <w:r>
        <w:rPr>
          <w:rFonts w:hint="eastAsia" w:cs="宋体" w:asciiTheme="minorEastAsia" w:hAnsiTheme="minorEastAsia" w:eastAsiaTheme="minorEastAsia"/>
          <w:sz w:val="21"/>
          <w:szCs w:val="21"/>
          <w:highlight w:val="none"/>
        </w:rPr>
        <w:t>施工要求</w:t>
      </w:r>
      <w:bookmarkEnd w:id="4"/>
    </w:p>
    <w:p w14:paraId="1AFBA072">
      <w:pPr>
        <w:pStyle w:val="16"/>
        <w:numPr>
          <w:ilvl w:val="0"/>
          <w:numId w:val="0"/>
        </w:numPr>
        <w:ind w:leftChars="0"/>
        <w:rPr>
          <w:rFonts w:hint="eastAsia" w:cs="宋体" w:asciiTheme="minorEastAsia" w:hAnsiTheme="minorEastAsia" w:eastAsiaTheme="minorEastAsia"/>
          <w:szCs w:val="21"/>
          <w:highlight w:val="none"/>
        </w:rPr>
      </w:pPr>
      <w:r>
        <w:rPr>
          <w:rFonts w:hint="eastAsia" w:cs="宋体" w:asciiTheme="minorEastAsia" w:hAnsiTheme="minorEastAsia" w:eastAsiaTheme="minorEastAsia"/>
          <w:szCs w:val="21"/>
          <w:highlight w:val="none"/>
          <w:lang w:val="en-US" w:eastAsia="zh-CN"/>
        </w:rPr>
        <w:t>1、</w:t>
      </w:r>
      <w:r>
        <w:rPr>
          <w:rFonts w:hint="eastAsia" w:cs="宋体" w:asciiTheme="minorEastAsia" w:hAnsiTheme="minorEastAsia" w:eastAsiaTheme="minorEastAsia"/>
          <w:szCs w:val="21"/>
          <w:highlight w:val="none"/>
        </w:rPr>
        <w:t>挂号区的旧设备要拆除，3条网线，供电线到屏体。</w:t>
      </w:r>
    </w:p>
    <w:p w14:paraId="717BA47A">
      <w:pPr>
        <w:rPr>
          <w:rFonts w:hint="eastAsia" w:cs="宋体" w:asciiTheme="minorEastAsia" w:hAnsiTheme="minorEastAsia" w:eastAsiaTheme="minorEastAsia"/>
          <w:szCs w:val="21"/>
          <w:highlight w:val="none"/>
        </w:rPr>
      </w:pPr>
      <w:r>
        <w:rPr>
          <w:rFonts w:hint="eastAsia" w:cs="宋体" w:asciiTheme="minorEastAsia" w:hAnsiTheme="minorEastAsia" w:eastAsiaTheme="minorEastAsia"/>
          <w:szCs w:val="21"/>
          <w:highlight w:val="none"/>
          <w:lang w:val="en-US" w:eastAsia="zh-CN"/>
        </w:rPr>
        <w:t>2、</w:t>
      </w:r>
      <w:r>
        <w:rPr>
          <w:rFonts w:hint="eastAsia" w:cs="宋体" w:asciiTheme="minorEastAsia" w:hAnsiTheme="minorEastAsia" w:eastAsiaTheme="minorEastAsia"/>
          <w:szCs w:val="21"/>
          <w:highlight w:val="none"/>
        </w:rPr>
        <w:t>等候区的装饰要拆除，2条网线，供电线到屏体。挂号区的供电大于3千瓦，等候区的供电大于7千瓦</w:t>
      </w:r>
    </w:p>
    <w:p w14:paraId="2257ABF9">
      <w:pPr>
        <w:pStyle w:val="16"/>
        <w:numPr>
          <w:ilvl w:val="0"/>
          <w:numId w:val="0"/>
        </w:numPr>
        <w:spacing w:line="360" w:lineRule="auto"/>
        <w:rPr>
          <w:rFonts w:hint="eastAsia" w:cs="宋体" w:asciiTheme="minorEastAsia" w:hAnsiTheme="minorEastAsia" w:eastAsiaTheme="minorEastAsia"/>
          <w:szCs w:val="21"/>
          <w:highlight w:val="none"/>
        </w:rPr>
      </w:pPr>
      <w:r>
        <w:rPr>
          <w:rFonts w:hint="eastAsia" w:cs="宋体" w:asciiTheme="minorEastAsia" w:hAnsiTheme="minorEastAsia" w:eastAsiaTheme="minorEastAsia"/>
          <w:szCs w:val="21"/>
          <w:highlight w:val="none"/>
          <w:lang w:val="en-US" w:eastAsia="zh-CN"/>
        </w:rPr>
        <w:t>3、</w:t>
      </w:r>
      <w:r>
        <w:rPr>
          <w:rFonts w:hint="eastAsia" w:cs="宋体" w:asciiTheme="minorEastAsia" w:hAnsiTheme="minorEastAsia" w:eastAsiaTheme="minorEastAsia"/>
          <w:szCs w:val="21"/>
          <w:highlight w:val="none"/>
        </w:rPr>
        <w:t>需要按照我院的安全管理要求，对默认密码进行密码配置</w:t>
      </w:r>
    </w:p>
    <w:p w14:paraId="186D2808">
      <w:pPr>
        <w:spacing w:line="360" w:lineRule="auto"/>
        <w:rPr>
          <w:rFonts w:hint="eastAsia" w:cs="宋体" w:asciiTheme="minorEastAsia" w:hAnsiTheme="minorEastAsia" w:eastAsiaTheme="minorEastAsia"/>
          <w:szCs w:val="21"/>
          <w:highlight w:val="none"/>
        </w:rPr>
      </w:pPr>
      <w:r>
        <w:rPr>
          <w:rFonts w:hint="eastAsia" w:cs="宋体" w:asciiTheme="minorEastAsia" w:hAnsiTheme="minorEastAsia" w:eastAsiaTheme="minorEastAsia"/>
          <w:szCs w:val="21"/>
          <w:highlight w:val="none"/>
          <w:lang w:val="en-US" w:eastAsia="zh-CN"/>
        </w:rPr>
        <w:t>4、</w:t>
      </w:r>
      <w:r>
        <w:rPr>
          <w:rFonts w:hint="eastAsia" w:cs="宋体" w:asciiTheme="minorEastAsia" w:hAnsiTheme="minorEastAsia" w:eastAsiaTheme="minorEastAsia"/>
          <w:szCs w:val="21"/>
          <w:highlight w:val="none"/>
        </w:rPr>
        <w:t>对相关使用人员提供详细的部署和运维培训</w:t>
      </w:r>
    </w:p>
    <w:p w14:paraId="2EA573B4">
      <w:pPr>
        <w:pStyle w:val="3"/>
        <w:numPr>
          <w:ilvl w:val="0"/>
          <w:numId w:val="4"/>
        </w:numPr>
        <w:spacing w:before="0" w:after="0" w:line="360" w:lineRule="auto"/>
        <w:ind w:left="360" w:hanging="360"/>
        <w:rPr>
          <w:rFonts w:hint="eastAsia" w:cs="宋体" w:asciiTheme="minorEastAsia" w:hAnsiTheme="minorEastAsia" w:eastAsiaTheme="minorEastAsia"/>
          <w:sz w:val="21"/>
          <w:szCs w:val="21"/>
          <w:highlight w:val="none"/>
        </w:rPr>
      </w:pPr>
      <w:bookmarkStart w:id="5" w:name="_Toc230700153"/>
      <w:r>
        <w:rPr>
          <w:rFonts w:hint="eastAsia" w:cs="宋体" w:asciiTheme="minorEastAsia" w:hAnsiTheme="minorEastAsia" w:eastAsiaTheme="minorEastAsia"/>
          <w:sz w:val="21"/>
          <w:szCs w:val="21"/>
          <w:highlight w:val="none"/>
        </w:rPr>
        <w:t>售后服务要求</w:t>
      </w:r>
      <w:bookmarkEnd w:id="5"/>
    </w:p>
    <w:p w14:paraId="1C548E18">
      <w:pPr>
        <w:spacing w:line="360" w:lineRule="auto"/>
        <w:rPr>
          <w:rFonts w:hint="eastAsia" w:cs="宋体" w:asciiTheme="minorEastAsia" w:hAnsiTheme="minorEastAsia" w:eastAsiaTheme="minorEastAsia"/>
          <w:szCs w:val="21"/>
          <w:highlight w:val="none"/>
        </w:rPr>
      </w:pPr>
      <w:r>
        <w:rPr>
          <w:rFonts w:hint="eastAsia" w:cs="宋体" w:asciiTheme="minorEastAsia" w:hAnsiTheme="minorEastAsia" w:eastAsiaTheme="minorEastAsia"/>
          <w:szCs w:val="21"/>
          <w:highlight w:val="none"/>
        </w:rPr>
        <w:t>提供</w:t>
      </w:r>
      <w:r>
        <w:rPr>
          <w:rStyle w:val="15"/>
          <w:rFonts w:hint="eastAsia" w:asciiTheme="minorEastAsia" w:hAnsiTheme="minorEastAsia" w:eastAsiaTheme="minorEastAsia"/>
          <w:kern w:val="0"/>
          <w:szCs w:val="21"/>
          <w:highlight w:val="none"/>
        </w:rPr>
        <w:t>提供LED大屏1年，控制终端和多媒体业务系统3年产品原厂售后服务</w:t>
      </w:r>
    </w:p>
    <w:p w14:paraId="72DBF00E">
      <w:pPr>
        <w:spacing w:line="360" w:lineRule="auto"/>
        <w:rPr>
          <w:rFonts w:hint="eastAsia" w:cs="宋体" w:asciiTheme="minorEastAsia" w:hAnsiTheme="minorEastAsia" w:eastAsiaTheme="minorEastAsia"/>
          <w:szCs w:val="21"/>
          <w:highlight w:val="none"/>
        </w:rPr>
      </w:pPr>
      <w:r>
        <w:rPr>
          <w:rFonts w:hint="eastAsia" w:cs="宋体" w:asciiTheme="minorEastAsia" w:hAnsiTheme="minorEastAsia" w:eastAsiaTheme="minorEastAsia"/>
          <w:szCs w:val="21"/>
          <w:highlight w:val="none"/>
          <w:lang w:val="en-US" w:eastAsia="zh-CN"/>
        </w:rPr>
        <w:t>①</w:t>
      </w:r>
      <w:r>
        <w:rPr>
          <w:rFonts w:hint="eastAsia" w:cs="宋体" w:asciiTheme="minorEastAsia" w:hAnsiTheme="minorEastAsia" w:eastAsiaTheme="minorEastAsia"/>
          <w:szCs w:val="21"/>
          <w:highlight w:val="none"/>
        </w:rPr>
        <w:t>提供原厂安装和使用培训</w:t>
      </w:r>
    </w:p>
    <w:p w14:paraId="7A9531E8">
      <w:pPr>
        <w:spacing w:line="360" w:lineRule="auto"/>
        <w:rPr>
          <w:rFonts w:hint="eastAsia" w:cs="宋体" w:asciiTheme="minorEastAsia" w:hAnsiTheme="minorEastAsia" w:eastAsiaTheme="minorEastAsia"/>
          <w:szCs w:val="21"/>
          <w:highlight w:val="none"/>
        </w:rPr>
      </w:pPr>
      <w:r>
        <w:rPr>
          <w:rFonts w:hint="eastAsia" w:cs="宋体" w:asciiTheme="minorEastAsia" w:hAnsiTheme="minorEastAsia" w:eastAsiaTheme="minorEastAsia"/>
          <w:szCs w:val="21"/>
          <w:highlight w:val="none"/>
          <w:lang w:val="en-US" w:eastAsia="zh-CN"/>
        </w:rPr>
        <w:t>②</w:t>
      </w:r>
      <w:r>
        <w:rPr>
          <w:rFonts w:hint="eastAsia" w:cs="宋体" w:asciiTheme="minorEastAsia" w:hAnsiTheme="minorEastAsia" w:eastAsiaTheme="minorEastAsia"/>
          <w:szCs w:val="21"/>
          <w:highlight w:val="none"/>
        </w:rPr>
        <w:t>提供二次开发接口授权</w:t>
      </w:r>
    </w:p>
    <w:p w14:paraId="48A895FB">
      <w:pPr>
        <w:spacing w:line="360" w:lineRule="auto"/>
        <w:rPr>
          <w:rFonts w:hint="eastAsia" w:cs="宋体" w:asciiTheme="minorEastAsia" w:hAnsiTheme="minorEastAsia" w:eastAsiaTheme="minorEastAsia"/>
          <w:szCs w:val="21"/>
          <w:highlight w:val="none"/>
        </w:rPr>
      </w:pPr>
      <w:r>
        <w:rPr>
          <w:rFonts w:hint="eastAsia" w:cs="宋体" w:asciiTheme="minorEastAsia" w:hAnsiTheme="minorEastAsia" w:eastAsiaTheme="minorEastAsia"/>
          <w:szCs w:val="21"/>
          <w:highlight w:val="none"/>
          <w:lang w:val="en-US" w:eastAsia="zh-CN"/>
        </w:rPr>
        <w:t>③</w:t>
      </w:r>
      <w:r>
        <w:rPr>
          <w:rFonts w:hint="eastAsia" w:cs="宋体" w:asciiTheme="minorEastAsia" w:hAnsiTheme="minorEastAsia" w:eastAsiaTheme="minorEastAsia"/>
          <w:szCs w:val="21"/>
          <w:highlight w:val="none"/>
        </w:rPr>
        <w:t>提供售后维保服务</w:t>
      </w:r>
    </w:p>
    <w:p w14:paraId="068E8C0A">
      <w:pPr>
        <w:spacing w:line="360" w:lineRule="auto"/>
        <w:rPr>
          <w:rFonts w:hint="eastAsia" w:cs="宋体" w:asciiTheme="minorEastAsia" w:hAnsiTheme="minorEastAsia" w:eastAsiaTheme="minorEastAsia"/>
          <w:szCs w:val="21"/>
          <w:highlight w:val="none"/>
        </w:rPr>
      </w:pPr>
      <w:r>
        <w:rPr>
          <w:rFonts w:hint="eastAsia" w:cs="宋体" w:asciiTheme="minorEastAsia" w:hAnsiTheme="minorEastAsia" w:eastAsiaTheme="minorEastAsia"/>
          <w:szCs w:val="21"/>
          <w:highlight w:val="none"/>
        </w:rPr>
        <w:t xml:space="preserve">包括：400远程支持服务、硬件售后维修服务、软件更新服务。 </w:t>
      </w:r>
    </w:p>
    <w:p w14:paraId="259F048C">
      <w:pPr>
        <w:pStyle w:val="3"/>
        <w:numPr>
          <w:ilvl w:val="0"/>
          <w:numId w:val="4"/>
        </w:numPr>
        <w:spacing w:before="0" w:after="0" w:line="360" w:lineRule="auto"/>
        <w:ind w:left="360" w:hanging="360"/>
        <w:rPr>
          <w:rFonts w:hint="eastAsia" w:cs="宋体" w:asciiTheme="minorEastAsia" w:hAnsiTheme="minorEastAsia" w:eastAsiaTheme="minorEastAsia"/>
          <w:sz w:val="21"/>
          <w:szCs w:val="21"/>
          <w:highlight w:val="none"/>
        </w:rPr>
      </w:pPr>
      <w:bookmarkStart w:id="6" w:name="_Toc230700154"/>
      <w:r>
        <w:rPr>
          <w:rFonts w:hint="eastAsia" w:cs="宋体" w:asciiTheme="minorEastAsia" w:hAnsiTheme="minorEastAsia" w:eastAsiaTheme="minorEastAsia"/>
          <w:sz w:val="21"/>
          <w:szCs w:val="21"/>
          <w:highlight w:val="none"/>
        </w:rPr>
        <w:t>验收要求</w:t>
      </w:r>
      <w:bookmarkEnd w:id="6"/>
    </w:p>
    <w:p w14:paraId="607E2914">
      <w:pPr>
        <w:spacing w:line="360" w:lineRule="auto"/>
        <w:rPr>
          <w:rFonts w:hint="eastAsia" w:cs="宋体" w:asciiTheme="minorEastAsia" w:hAnsiTheme="minorEastAsia" w:eastAsiaTheme="minorEastAsia"/>
          <w:szCs w:val="21"/>
          <w:highlight w:val="none"/>
        </w:rPr>
      </w:pPr>
      <w:r>
        <w:rPr>
          <w:rFonts w:hint="eastAsia" w:cs="宋体" w:asciiTheme="minorEastAsia" w:hAnsiTheme="minorEastAsia" w:eastAsiaTheme="minorEastAsia"/>
          <w:szCs w:val="21"/>
          <w:highlight w:val="none"/>
          <w:lang w:val="en-US" w:eastAsia="zh-CN"/>
        </w:rPr>
        <w:t>①</w:t>
      </w:r>
      <w:r>
        <w:rPr>
          <w:rFonts w:hint="eastAsia" w:cs="宋体" w:asciiTheme="minorEastAsia" w:hAnsiTheme="minorEastAsia" w:eastAsiaTheme="minorEastAsia"/>
          <w:szCs w:val="21"/>
          <w:highlight w:val="none"/>
        </w:rPr>
        <w:t>外形包装验收：每件物品有独立的包装，包装外观应完好，无破损、变形，否则视为产品不合格。包装箱应有防潮设计，满足设备运输和存储的要求。</w:t>
      </w:r>
    </w:p>
    <w:p w14:paraId="62FAC346">
      <w:pPr>
        <w:spacing w:line="360" w:lineRule="auto"/>
        <w:rPr>
          <w:rFonts w:hint="eastAsia" w:cs="宋体" w:asciiTheme="minorEastAsia" w:hAnsiTheme="minorEastAsia" w:eastAsiaTheme="minorEastAsia"/>
          <w:szCs w:val="21"/>
          <w:highlight w:val="none"/>
        </w:rPr>
      </w:pPr>
      <w:r>
        <w:rPr>
          <w:rFonts w:hint="eastAsia" w:cs="宋体" w:asciiTheme="minorEastAsia" w:hAnsiTheme="minorEastAsia" w:eastAsiaTheme="minorEastAsia"/>
          <w:szCs w:val="21"/>
          <w:highlight w:val="none"/>
          <w:lang w:val="en-US" w:eastAsia="zh-CN"/>
        </w:rPr>
        <w:t>②</w:t>
      </w:r>
      <w:r>
        <w:rPr>
          <w:rFonts w:hint="eastAsia" w:cs="宋体" w:asciiTheme="minorEastAsia" w:hAnsiTheme="minorEastAsia" w:eastAsiaTheme="minorEastAsia"/>
          <w:szCs w:val="21"/>
          <w:highlight w:val="none"/>
        </w:rPr>
        <w:t>开箱检验：根据包装箱中的装箱单查验设备及其附件。</w:t>
      </w:r>
    </w:p>
    <w:p w14:paraId="49223A8F">
      <w:pPr>
        <w:spacing w:line="360" w:lineRule="auto"/>
        <w:rPr>
          <w:rFonts w:hint="eastAsia" w:cs="宋体" w:asciiTheme="minorEastAsia" w:hAnsiTheme="minorEastAsia" w:eastAsiaTheme="minorEastAsia"/>
          <w:szCs w:val="21"/>
          <w:highlight w:val="none"/>
        </w:rPr>
      </w:pPr>
      <w:r>
        <w:rPr>
          <w:rFonts w:hint="eastAsia" w:cs="宋体" w:asciiTheme="minorEastAsia" w:hAnsiTheme="minorEastAsia" w:eastAsiaTheme="minorEastAsia"/>
          <w:szCs w:val="21"/>
          <w:highlight w:val="none"/>
          <w:lang w:val="en-US" w:eastAsia="zh-CN"/>
        </w:rPr>
        <w:t>③</w:t>
      </w:r>
      <w:r>
        <w:rPr>
          <w:rFonts w:hint="eastAsia" w:cs="宋体" w:asciiTheme="minorEastAsia" w:hAnsiTheme="minorEastAsia" w:eastAsiaTheme="minorEastAsia"/>
          <w:szCs w:val="21"/>
          <w:highlight w:val="none"/>
        </w:rPr>
        <w:t>设备上架：完成设备的初步检查，并提交设备上线报告。</w:t>
      </w:r>
    </w:p>
    <w:p w14:paraId="412D4987">
      <w:pPr>
        <w:spacing w:line="360" w:lineRule="auto"/>
        <w:rPr>
          <w:rFonts w:hint="eastAsia" w:cs="宋体" w:asciiTheme="minorEastAsia" w:hAnsiTheme="minorEastAsia" w:eastAsiaTheme="minorEastAsia"/>
          <w:szCs w:val="21"/>
          <w:highlight w:val="none"/>
        </w:rPr>
      </w:pPr>
      <w:r>
        <w:rPr>
          <w:rFonts w:hint="eastAsia" w:cs="宋体" w:asciiTheme="minorEastAsia" w:hAnsiTheme="minorEastAsia" w:eastAsiaTheme="minorEastAsia"/>
          <w:szCs w:val="21"/>
          <w:highlight w:val="none"/>
          <w:lang w:val="en-US" w:eastAsia="zh-CN"/>
        </w:rPr>
        <w:t>④</w:t>
      </w:r>
      <w:r>
        <w:rPr>
          <w:rFonts w:hint="eastAsia" w:cs="宋体" w:asciiTheme="minorEastAsia" w:hAnsiTheme="minorEastAsia" w:eastAsiaTheme="minorEastAsia"/>
          <w:szCs w:val="21"/>
          <w:highlight w:val="none"/>
        </w:rPr>
        <w:t>验收：经监理机构（如有）确认后，组织相关人员，进行项目竣工验收，验收合格后提交验收报告。</w:t>
      </w:r>
    </w:p>
    <w:p w14:paraId="620E36E4">
      <w:pPr>
        <w:pStyle w:val="2"/>
        <w:rPr>
          <w:rFonts w:hint="default"/>
          <w:highlight w:val="none"/>
          <w:lang w:val="en-US" w:eastAsia="zh-CN"/>
        </w:rPr>
      </w:pPr>
    </w:p>
    <w:p w14:paraId="16E76BF7">
      <w:pPr>
        <w:ind w:left="-141" w:leftChars="-67"/>
        <w:jc w:val="left"/>
        <w:rPr>
          <w:rFonts w:hint="eastAsia"/>
          <w:highlight w:val="none"/>
        </w:rPr>
      </w:pPr>
      <w:bookmarkStart w:id="7" w:name="_GoBack"/>
      <w:bookmarkEnd w:id="7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93AD4ED"/>
    <w:multiLevelType w:val="singleLevel"/>
    <w:tmpl w:val="A93AD4ED"/>
    <w:lvl w:ilvl="0" w:tentative="0">
      <w:start w:val="1"/>
      <w:numFmt w:val="decimal"/>
      <w:suff w:val="nothing"/>
      <w:lvlText w:val="（%1）"/>
      <w:lvlJc w:val="left"/>
    </w:lvl>
  </w:abstractNum>
  <w:abstractNum w:abstractNumId="1">
    <w:nsid w:val="02DA0F8D"/>
    <w:multiLevelType w:val="multilevel"/>
    <w:tmpl w:val="02DA0F8D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eastAsia"/>
      </w:rPr>
    </w:lvl>
    <w:lvl w:ilvl="1" w:tentative="0">
      <w:start w:val="1"/>
      <w:numFmt w:val="decimal"/>
      <w:lvlText w:val="%1.%2."/>
      <w:lvlJc w:val="left"/>
      <w:pPr>
        <w:ind w:left="567" w:hanging="567"/>
      </w:pPr>
      <w:rPr>
        <w:rFonts w:hint="eastAsia"/>
      </w:rPr>
    </w:lvl>
    <w:lvl w:ilvl="2" w:tentative="0">
      <w:start w:val="1"/>
      <w:numFmt w:val="decimal"/>
      <w:lvlText w:val="%1.%2.%3."/>
      <w:lvlJc w:val="left"/>
      <w:pPr>
        <w:ind w:left="709" w:hanging="709"/>
      </w:pPr>
      <w:rPr>
        <w:rFonts w:hint="eastAsia"/>
      </w:rPr>
    </w:lvl>
    <w:lvl w:ilvl="3" w:tentative="0">
      <w:start w:val="1"/>
      <w:numFmt w:val="decimal"/>
      <w:lvlText w:val="%1.%2.%3.%4."/>
      <w:lvlJc w:val="left"/>
      <w:pPr>
        <w:ind w:left="851" w:hanging="851"/>
      </w:pPr>
      <w:rPr>
        <w:rFonts w:hint="eastAsia"/>
      </w:rPr>
    </w:lvl>
    <w:lvl w:ilvl="4" w:tentative="0">
      <w:start w:val="1"/>
      <w:numFmt w:val="decimal"/>
      <w:lvlText w:val="%1.%2.%3.%4.%5."/>
      <w:lvlJc w:val="left"/>
      <w:pPr>
        <w:ind w:left="992" w:hanging="992"/>
      </w:pPr>
      <w:rPr>
        <w:rFonts w:hint="eastAsia"/>
      </w:rPr>
    </w:lvl>
    <w:lvl w:ilvl="5" w:tentative="0">
      <w:start w:val="1"/>
      <w:numFmt w:val="decimal"/>
      <w:lvlText w:val="%1.%2.%3.%4.%5.%6."/>
      <w:lvlJc w:val="left"/>
      <w:pPr>
        <w:ind w:left="1134" w:hanging="1134"/>
      </w:pPr>
      <w:rPr>
        <w:rFonts w:hint="eastAsia"/>
      </w:rPr>
    </w:lvl>
    <w:lvl w:ilvl="6" w:tentative="0">
      <w:start w:val="1"/>
      <w:numFmt w:val="decimal"/>
      <w:lvlText w:val="%1.%2.%3.%4.%5.%6.%7."/>
      <w:lvlJc w:val="left"/>
      <w:pPr>
        <w:ind w:left="1276" w:hanging="1276"/>
      </w:pPr>
      <w:rPr>
        <w:rFonts w:hint="eastAsia"/>
      </w:rPr>
    </w:lvl>
    <w:lvl w:ilvl="7" w:tentative="0">
      <w:start w:val="1"/>
      <w:numFmt w:val="decimal"/>
      <w:lvlText w:val="%1.%2.%3.%4.%5.%6.%7.%8."/>
      <w:lvlJc w:val="left"/>
      <w:pPr>
        <w:ind w:left="1418" w:hanging="1418"/>
      </w:pPr>
      <w:rPr>
        <w:rFonts w:hint="eastAsia"/>
      </w:rPr>
    </w:lvl>
    <w:lvl w:ilvl="8" w:tentative="0">
      <w:start w:val="1"/>
      <w:numFmt w:val="decimal"/>
      <w:lvlText w:val="%1.%2.%3.%4.%5.%6.%7.%8.%9."/>
      <w:lvlJc w:val="left"/>
      <w:pPr>
        <w:ind w:left="1559" w:hanging="1559"/>
      </w:pPr>
      <w:rPr>
        <w:rFonts w:hint="eastAsia"/>
      </w:rPr>
    </w:lvl>
  </w:abstractNum>
  <w:abstractNum w:abstractNumId="2">
    <w:nsid w:val="172061D3"/>
    <w:multiLevelType w:val="multilevel"/>
    <w:tmpl w:val="172061D3"/>
    <w:lvl w:ilvl="0" w:tentative="0">
      <w:start w:val="3"/>
      <w:numFmt w:val="decimal"/>
      <w:lvlText w:val="%1"/>
      <w:lvlJc w:val="left"/>
      <w:pPr>
        <w:ind w:left="432" w:hanging="432"/>
      </w:pPr>
      <w:rPr>
        <w:rFonts w:hint="default"/>
      </w:rPr>
    </w:lvl>
    <w:lvl w:ilvl="1" w:tentative="0">
      <w:start w:val="15"/>
      <w:numFmt w:val="decimal"/>
      <w:lvlText w:val="%1.%2"/>
      <w:lvlJc w:val="left"/>
      <w:pPr>
        <w:ind w:left="501" w:hanging="432"/>
      </w:pPr>
      <w:rPr>
        <w:rFonts w:hint="default"/>
      </w:rPr>
    </w:lvl>
    <w:lvl w:ilvl="2" w:tentative="0">
      <w:start w:val="1"/>
      <w:numFmt w:val="decimal"/>
      <w:lvlText w:val="%1.%2.%3"/>
      <w:lvlJc w:val="left"/>
      <w:pPr>
        <w:ind w:left="858" w:hanging="720"/>
      </w:pPr>
      <w:rPr>
        <w:rFonts w:hint="default"/>
      </w:rPr>
    </w:lvl>
    <w:lvl w:ilvl="3" w:tentative="0">
      <w:start w:val="1"/>
      <w:numFmt w:val="decimal"/>
      <w:lvlText w:val="%1.%2.%3.%4"/>
      <w:lvlJc w:val="left"/>
      <w:pPr>
        <w:ind w:left="1287" w:hanging="1080"/>
      </w:pPr>
      <w:rPr>
        <w:rFonts w:hint="default"/>
      </w:rPr>
    </w:lvl>
    <w:lvl w:ilvl="4" w:tentative="0">
      <w:start w:val="1"/>
      <w:numFmt w:val="decimal"/>
      <w:lvlText w:val="%1.%2.%3.%4.%5"/>
      <w:lvlJc w:val="left"/>
      <w:pPr>
        <w:ind w:left="1356" w:hanging="1080"/>
      </w:pPr>
      <w:rPr>
        <w:rFonts w:hint="default"/>
      </w:rPr>
    </w:lvl>
    <w:lvl w:ilvl="5" w:tentative="0">
      <w:start w:val="1"/>
      <w:numFmt w:val="decimal"/>
      <w:lvlText w:val="%1.%2.%3.%4.%5.%6"/>
      <w:lvlJc w:val="left"/>
      <w:pPr>
        <w:ind w:left="1785" w:hanging="1440"/>
      </w:pPr>
      <w:rPr>
        <w:rFonts w:hint="default"/>
      </w:rPr>
    </w:lvl>
    <w:lvl w:ilvl="6" w:tentative="0">
      <w:start w:val="1"/>
      <w:numFmt w:val="decimal"/>
      <w:lvlText w:val="%1.%2.%3.%4.%5.%6.%7"/>
      <w:lvlJc w:val="left"/>
      <w:pPr>
        <w:ind w:left="1854" w:hanging="1440"/>
      </w:pPr>
      <w:rPr>
        <w:rFonts w:hint="default"/>
      </w:rPr>
    </w:lvl>
    <w:lvl w:ilvl="7" w:tentative="0">
      <w:start w:val="1"/>
      <w:numFmt w:val="decimal"/>
      <w:lvlText w:val="%1.%2.%3.%4.%5.%6.%7.%8"/>
      <w:lvlJc w:val="left"/>
      <w:pPr>
        <w:ind w:left="2283" w:hanging="1800"/>
      </w:pPr>
      <w:rPr>
        <w:rFonts w:hint="default"/>
      </w:rPr>
    </w:lvl>
    <w:lvl w:ilvl="8" w:tentative="0">
      <w:start w:val="1"/>
      <w:numFmt w:val="decimal"/>
      <w:lvlText w:val="%1.%2.%3.%4.%5.%6.%7.%8.%9"/>
      <w:lvlJc w:val="left"/>
      <w:pPr>
        <w:ind w:left="2352" w:hanging="1800"/>
      </w:pPr>
      <w:rPr>
        <w:rFonts w:hint="default"/>
      </w:rPr>
    </w:lvl>
  </w:abstractNum>
  <w:abstractNum w:abstractNumId="3">
    <w:nsid w:val="4E0395CC"/>
    <w:multiLevelType w:val="singleLevel"/>
    <w:tmpl w:val="4E0395CC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4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ZlNGE3NmU0ODQzNTQyOGQ0MGE5ZjBiZWFjZDlhOGUifQ=="/>
  </w:docVars>
  <w:rsids>
    <w:rsidRoot w:val="00172A27"/>
    <w:rsid w:val="00056DDA"/>
    <w:rsid w:val="00107151"/>
    <w:rsid w:val="001613BF"/>
    <w:rsid w:val="00172A27"/>
    <w:rsid w:val="00223E21"/>
    <w:rsid w:val="00265180"/>
    <w:rsid w:val="00284678"/>
    <w:rsid w:val="00292B78"/>
    <w:rsid w:val="002D5DEC"/>
    <w:rsid w:val="003B7D50"/>
    <w:rsid w:val="005D2619"/>
    <w:rsid w:val="0065273B"/>
    <w:rsid w:val="0066779E"/>
    <w:rsid w:val="006F6B42"/>
    <w:rsid w:val="00736624"/>
    <w:rsid w:val="00781189"/>
    <w:rsid w:val="00863826"/>
    <w:rsid w:val="00875DC0"/>
    <w:rsid w:val="008A16B8"/>
    <w:rsid w:val="008F0F28"/>
    <w:rsid w:val="00987187"/>
    <w:rsid w:val="00A62A34"/>
    <w:rsid w:val="00AA1ECA"/>
    <w:rsid w:val="00AF11C5"/>
    <w:rsid w:val="00B30038"/>
    <w:rsid w:val="00B5246F"/>
    <w:rsid w:val="00C06D96"/>
    <w:rsid w:val="00C341D4"/>
    <w:rsid w:val="00CA1118"/>
    <w:rsid w:val="00CA1197"/>
    <w:rsid w:val="00CB5696"/>
    <w:rsid w:val="00CD65D9"/>
    <w:rsid w:val="00D9589F"/>
    <w:rsid w:val="00E814B6"/>
    <w:rsid w:val="00EA1EFE"/>
    <w:rsid w:val="00ED4F96"/>
    <w:rsid w:val="00F03FE3"/>
    <w:rsid w:val="024753DD"/>
    <w:rsid w:val="04B075D8"/>
    <w:rsid w:val="071C6B00"/>
    <w:rsid w:val="09630A37"/>
    <w:rsid w:val="0AD34999"/>
    <w:rsid w:val="0B7A73D9"/>
    <w:rsid w:val="126C29CC"/>
    <w:rsid w:val="13564963"/>
    <w:rsid w:val="161B0935"/>
    <w:rsid w:val="18C643C5"/>
    <w:rsid w:val="21466CC1"/>
    <w:rsid w:val="245D3AB4"/>
    <w:rsid w:val="268E2096"/>
    <w:rsid w:val="2A0E7B9B"/>
    <w:rsid w:val="2DE76FB9"/>
    <w:rsid w:val="2EEF7547"/>
    <w:rsid w:val="2FAF5BAA"/>
    <w:rsid w:val="309A7DE6"/>
    <w:rsid w:val="337A4962"/>
    <w:rsid w:val="385851D1"/>
    <w:rsid w:val="3A5A487C"/>
    <w:rsid w:val="3C551E22"/>
    <w:rsid w:val="3E460F8B"/>
    <w:rsid w:val="3FF40999"/>
    <w:rsid w:val="417D0D65"/>
    <w:rsid w:val="446D72CF"/>
    <w:rsid w:val="46257E64"/>
    <w:rsid w:val="462849D9"/>
    <w:rsid w:val="46B65BA8"/>
    <w:rsid w:val="49773553"/>
    <w:rsid w:val="4C996C4A"/>
    <w:rsid w:val="50290169"/>
    <w:rsid w:val="606F2D8B"/>
    <w:rsid w:val="612135D6"/>
    <w:rsid w:val="61446072"/>
    <w:rsid w:val="61F734FF"/>
    <w:rsid w:val="68077DF9"/>
    <w:rsid w:val="6C41527C"/>
    <w:rsid w:val="6E733EB4"/>
    <w:rsid w:val="6F180782"/>
    <w:rsid w:val="73013DC3"/>
    <w:rsid w:val="746C5FA6"/>
    <w:rsid w:val="7CE31D0C"/>
    <w:rsid w:val="7FDD1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qFormat="1" w:uiPriority="39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0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4"/>
      <w:lang w:val="en-US" w:eastAsia="zh-CN" w:bidi="ar-SA"/>
    </w:rPr>
  </w:style>
  <w:style w:type="paragraph" w:styleId="3">
    <w:name w:val="heading 3"/>
    <w:basedOn w:val="1"/>
    <w:next w:val="1"/>
    <w:semiHidden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2">
    <w:name w:val="Default Paragraph Font"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TML Preformatted"/>
    <w:basedOn w:val="1"/>
    <w:unhideWhenUsed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黑体" w:hAnsi="Courier New" w:eastAsia="黑体" w:cs="Courier New"/>
    </w:rPr>
  </w:style>
  <w:style w:type="paragraph" w:styleId="4">
    <w:name w:val="Body Text Indent"/>
    <w:basedOn w:val="1"/>
    <w:link w:val="19"/>
    <w:semiHidden/>
    <w:unhideWhenUsed/>
    <w:qFormat/>
    <w:uiPriority w:val="99"/>
    <w:pPr>
      <w:spacing w:after="120"/>
      <w:ind w:left="420" w:leftChars="200"/>
    </w:pPr>
  </w:style>
  <w:style w:type="paragraph" w:styleId="5">
    <w:name w:val="footer"/>
    <w:basedOn w:val="1"/>
    <w:link w:val="1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7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toc 2"/>
    <w:basedOn w:val="1"/>
    <w:next w:val="1"/>
    <w:unhideWhenUsed/>
    <w:qFormat/>
    <w:uiPriority w:val="39"/>
    <w:pPr>
      <w:ind w:left="420" w:leftChars="200"/>
    </w:pPr>
    <w:rPr>
      <w:rFonts w:ascii="Times New Roman" w:hAnsi="Times New Roman" w:eastAsia="宋体"/>
    </w:rPr>
  </w:style>
  <w:style w:type="paragraph" w:styleId="8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paragraph" w:styleId="9">
    <w:name w:val="Body Text First Indent 2"/>
    <w:basedOn w:val="4"/>
    <w:link w:val="20"/>
    <w:qFormat/>
    <w:uiPriority w:val="0"/>
    <w:pPr>
      <w:widowControl/>
      <w:ind w:firstLine="420" w:firstLineChars="200"/>
      <w:jc w:val="left"/>
    </w:pPr>
    <w:rPr>
      <w:rFonts w:ascii="Times New Roman" w:hAnsi="Times New Roman" w:eastAsia="宋体"/>
      <w:kern w:val="0"/>
    </w:rPr>
  </w:style>
  <w:style w:type="table" w:styleId="11">
    <w:name w:val="Table Grid"/>
    <w:basedOn w:val="10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Strong"/>
    <w:basedOn w:val="12"/>
    <w:qFormat/>
    <w:uiPriority w:val="22"/>
    <w:rPr>
      <w:b/>
      <w:bCs/>
    </w:rPr>
  </w:style>
  <w:style w:type="character" w:styleId="14">
    <w:name w:val="Hyperlink"/>
    <w:basedOn w:val="12"/>
    <w:semiHidden/>
    <w:unhideWhenUsed/>
    <w:qFormat/>
    <w:uiPriority w:val="99"/>
    <w:rPr>
      <w:color w:val="0000FF"/>
      <w:u w:val="single"/>
    </w:rPr>
  </w:style>
  <w:style w:type="character" w:customStyle="1" w:styleId="15">
    <w:name w:val="apple-converted-space"/>
    <w:basedOn w:val="12"/>
    <w:qFormat/>
    <w:uiPriority w:val="0"/>
  </w:style>
  <w:style w:type="paragraph" w:styleId="16">
    <w:name w:val="List Paragraph"/>
    <w:basedOn w:val="1"/>
    <w:qFormat/>
    <w:uiPriority w:val="34"/>
    <w:pPr>
      <w:ind w:firstLine="420" w:firstLineChars="200"/>
    </w:pPr>
  </w:style>
  <w:style w:type="character" w:customStyle="1" w:styleId="17">
    <w:name w:val="页眉 字符"/>
    <w:basedOn w:val="12"/>
    <w:link w:val="6"/>
    <w:qFormat/>
    <w:uiPriority w:val="99"/>
    <w:rPr>
      <w:rFonts w:ascii="等线" w:hAnsi="等线" w:eastAsia="等线"/>
      <w:kern w:val="2"/>
      <w:sz w:val="18"/>
      <w:szCs w:val="18"/>
    </w:rPr>
  </w:style>
  <w:style w:type="character" w:customStyle="1" w:styleId="18">
    <w:name w:val="页脚 字符"/>
    <w:basedOn w:val="12"/>
    <w:link w:val="5"/>
    <w:qFormat/>
    <w:uiPriority w:val="99"/>
    <w:rPr>
      <w:rFonts w:ascii="等线" w:hAnsi="等线" w:eastAsia="等线"/>
      <w:kern w:val="2"/>
      <w:sz w:val="18"/>
      <w:szCs w:val="18"/>
    </w:rPr>
  </w:style>
  <w:style w:type="character" w:customStyle="1" w:styleId="19">
    <w:name w:val="正文文本缩进 字符"/>
    <w:basedOn w:val="12"/>
    <w:link w:val="4"/>
    <w:semiHidden/>
    <w:qFormat/>
    <w:uiPriority w:val="99"/>
    <w:rPr>
      <w:rFonts w:ascii="等线" w:hAnsi="等线" w:eastAsia="等线"/>
      <w:kern w:val="2"/>
      <w:sz w:val="21"/>
      <w:szCs w:val="24"/>
    </w:rPr>
  </w:style>
  <w:style w:type="character" w:customStyle="1" w:styleId="20">
    <w:name w:val="正文文本首行缩进 2 字符"/>
    <w:basedOn w:val="19"/>
    <w:link w:val="9"/>
    <w:qFormat/>
    <w:uiPriority w:val="0"/>
    <w:rPr>
      <w:rFonts w:ascii="等线" w:hAnsi="等线" w:eastAsia="等线"/>
      <w:kern w:val="2"/>
      <w:sz w:val="21"/>
      <w:szCs w:val="24"/>
    </w:rPr>
  </w:style>
  <w:style w:type="paragraph" w:customStyle="1" w:styleId="21">
    <w:name w:val="_Style 3"/>
    <w:basedOn w:val="1"/>
    <w:qFormat/>
    <w:uiPriority w:val="0"/>
    <w:pPr>
      <w:widowControl/>
      <w:ind w:firstLine="420" w:firstLineChars="200"/>
      <w:jc w:val="left"/>
    </w:pPr>
    <w:rPr>
      <w:rFonts w:ascii="Arial" w:hAnsi="Arial" w:eastAsia="宋体"/>
      <w:kern w:val="0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2630</Words>
  <Characters>3387</Characters>
  <Lines>25</Lines>
  <Paragraphs>7</Paragraphs>
  <TotalTime>3</TotalTime>
  <ScaleCrop>false</ScaleCrop>
  <LinksUpToDate>false</LinksUpToDate>
  <CharactersWithSpaces>3590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2026-04-29T08:07:00Z</dcterms:created>
  <dc:creator>Office</dc:creator>
  <cp:lastModifiedBy>yang</cp:lastModifiedBy>
  <dcterms:modified xsi:type="dcterms:W3CDTF">2026-06-15T06:16:57Z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eyJoZGlkIjoiMDVlNTYwODliYTQ4ODNmYjZkODViMWRkODRmZTVhM2YiLCJ1c2VySWQiOiI1NzU2NDIwNjEifQ==</vt:lpwstr>
  </property>
  <property fmtid="{D5CDD505-2E9C-101B-9397-08002B2CF9AE}" pid="3" name="KSOProductBuildVer">
    <vt:lpwstr>2052-12.1.0.26895</vt:lpwstr>
  </property>
  <property fmtid="{D5CDD505-2E9C-101B-9397-08002B2CF9AE}" pid="4" name="ICV">
    <vt:lpwstr>07C3E0976931421BB177423D9411254E_13</vt:lpwstr>
  </property>
</Properties>
</file>