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67BDA">
      <w:pPr>
        <w:jc w:val="center"/>
        <w:rPr>
          <w:rFonts w:hint="eastAsia" w:ascii="仿宋" w:hAnsi="仿宋" w:eastAsia="仿宋" w:cs="仿宋"/>
          <w:sz w:val="28"/>
          <w:szCs w:val="28"/>
          <w:lang w:val="en-US" w:eastAsia="zh-CN"/>
        </w:rPr>
      </w:pPr>
      <w:r>
        <w:rPr>
          <w:rFonts w:hint="eastAsia" w:ascii="仿宋" w:hAnsi="仿宋" w:eastAsia="仿宋" w:cs="仿宋"/>
          <w:b/>
          <w:bCs/>
          <w:sz w:val="28"/>
          <w:szCs w:val="28"/>
          <w:lang w:val="en-US" w:eastAsia="zh-CN"/>
        </w:rPr>
        <w:t>广州医科大学附属第三医院市场化购电服务采购需求</w:t>
      </w:r>
    </w:p>
    <w:p w14:paraId="019EF474">
      <w:pPr>
        <w:rPr>
          <w:rFonts w:hint="eastAsia" w:ascii="仿宋" w:hAnsi="仿宋" w:eastAsia="仿宋" w:cs="仿宋"/>
          <w:sz w:val="28"/>
          <w:szCs w:val="28"/>
          <w:lang w:val="en-US" w:eastAsia="zh-CN"/>
        </w:rPr>
      </w:pPr>
    </w:p>
    <w:p w14:paraId="3B819650">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一、项目概况</w:t>
      </w:r>
    </w:p>
    <w:p w14:paraId="730569E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用电主体： 广州医科大学附属第三医院</w:t>
      </w:r>
    </w:p>
    <w:p w14:paraId="17A299B0">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用电地址： 荔湾院区：广东省广州市荔湾区多宝路63号</w:t>
      </w:r>
    </w:p>
    <w:p w14:paraId="1F533F6D">
      <w:pPr>
        <w:ind w:firstLine="2520" w:firstLineChars="9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黄埔院区：广东省广州市黄埔区长贤路55号</w:t>
      </w:r>
    </w:p>
    <w:p w14:paraId="4FF4CDC7">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电压等级：10kV双回路供电，</w:t>
      </w:r>
    </w:p>
    <w:p w14:paraId="1C2FFB7C">
      <w:pPr>
        <w:numPr>
          <w:ilvl w:val="0"/>
          <w:numId w:val="0"/>
        </w:numPr>
        <w:ind w:firstLine="1120" w:firstLineChars="4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总容量：荔湾院区14200kVA、黄埔院区7200kVA。</w:t>
      </w:r>
    </w:p>
    <w:p w14:paraId="1AD1F217">
      <w:pPr>
        <w:rPr>
          <w:rFonts w:hint="eastAsia" w:ascii="仿宋" w:hAnsi="仿宋" w:eastAsia="仿宋" w:cs="仿宋"/>
          <w:sz w:val="28"/>
          <w:szCs w:val="28"/>
          <w:lang w:val="en-US" w:eastAsia="zh-CN"/>
        </w:rPr>
      </w:pPr>
    </w:p>
    <w:p w14:paraId="3F6FD0AA">
      <w:p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二、项目需求</w:t>
      </w:r>
    </w:p>
    <w:p w14:paraId="267CC10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采购标的电量预估</w:t>
      </w:r>
      <w:r>
        <w:rPr>
          <w:rFonts w:hint="eastAsia" w:ascii="仿宋" w:hAnsi="仿宋" w:eastAsia="仿宋" w:cs="仿宋"/>
          <w:sz w:val="28"/>
          <w:szCs w:val="28"/>
          <w:u w:val="single"/>
          <w:lang w:val="en-US" w:eastAsia="zh-CN"/>
        </w:rPr>
        <w:t xml:space="preserve"> 4000</w:t>
      </w:r>
      <w:r>
        <w:rPr>
          <w:rFonts w:hint="eastAsia" w:ascii="仿宋" w:hAnsi="仿宋" w:eastAsia="仿宋" w:cs="仿宋"/>
          <w:sz w:val="28"/>
          <w:szCs w:val="28"/>
          <w:lang w:val="en-US" w:eastAsia="zh-CN"/>
        </w:rPr>
        <w:t>万kW·h，时</w:t>
      </w:r>
      <w:bookmarkStart w:id="0" w:name="_GoBack"/>
      <w:bookmarkEnd w:id="0"/>
      <w:r>
        <w:rPr>
          <w:rFonts w:hint="eastAsia" w:ascii="仿宋" w:hAnsi="仿宋" w:eastAsia="仿宋" w:cs="仿宋"/>
          <w:sz w:val="28"/>
          <w:szCs w:val="28"/>
          <w:lang w:val="en-US" w:eastAsia="zh-CN"/>
        </w:rPr>
        <w:t>间预计为2026年10月至2027年12月。（最终按实际用量结算）</w:t>
      </w:r>
    </w:p>
    <w:p w14:paraId="7EEB8B66">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（一）基本服务</w:t>
      </w:r>
    </w:p>
    <w:p w14:paraId="317C8C8A">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提供全周期电力交易服务与用电配套服务，符合国家法规与技术规范。</w:t>
      </w:r>
    </w:p>
    <w:p w14:paraId="5DA458FA">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负责在广东电力交易系统中完成合同申报、确认与结算数据对接。</w:t>
      </w:r>
    </w:p>
    <w:p w14:paraId="14F415C8">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负责每月交易电量申报、交易执行与电费结算工作，月度结算以实际用电量为准。</w:t>
      </w:r>
    </w:p>
    <w:p w14:paraId="34A89410">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 协助采购人完成电力交易平台注册、资料准备、系统录入及后续数据填报，确保及时、准确、完整。如因填报错误或延迟导致采购人损失，由中标人承担全部责任。</w:t>
      </w:r>
    </w:p>
    <w:p w14:paraId="16DC179D">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 提供电量电费分析、电力技术咨询、发票协助、电费核对等服务，每月提供结算清单。</w:t>
      </w:r>
    </w:p>
    <w:p w14:paraId="7E7DEB55">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 确保不改变采购人原有用电习惯与供电质量。</w:t>
      </w:r>
    </w:p>
    <w:p w14:paraId="69C824BF">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 承诺购电价不高于南方电网代理购电价格，否则返还差价。</w:t>
      </w:r>
    </w:p>
    <w:p w14:paraId="457B2DA1">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 如因政策调整无法继续履约，双方应在保障采购人利益前提下协商解约。</w:t>
      </w:r>
    </w:p>
    <w:p w14:paraId="32972A81">
      <w:p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（二）增值服务</w:t>
      </w:r>
    </w:p>
    <w:p w14:paraId="74CE03A7">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提供配电设备个性化运维方案，建立设备台账档案，制定智能巡视方案。</w:t>
      </w:r>
    </w:p>
    <w:p w14:paraId="3E40A178">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提供远程配电安全专家咨询服务（日常巡维、缺陷处理、应急方案等）。</w:t>
      </w:r>
    </w:p>
    <w:p w14:paraId="22471D86">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每季度提供不少于1次的现场设备巡视，并出具运维报告与改进建议。</w:t>
      </w:r>
    </w:p>
    <w:p w14:paraId="0FF83CE4">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 每半年提供一次用电数据分析与节能建议报告。</w:t>
      </w:r>
    </w:p>
    <w:p w14:paraId="1598876B">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 每年为采购人提供电气安全与运维培训不少于一次。</w:t>
      </w:r>
    </w:p>
    <w:p w14:paraId="5816AC4B">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 配合采购人完成一篇具有应用价值的专项研究报告或技术分析报告。</w:t>
      </w:r>
    </w:p>
    <w:p w14:paraId="02D3F53E">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 每年提供一次10kV设备年度预防性试验（涵括招标人两院区所有在用10kV设备）并出具相应试验报告。</w:t>
      </w:r>
    </w:p>
    <w:p w14:paraId="015AF03D">
      <w:pPr>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8. 协助采购人定期完成高压绝缘器具的检验工作。</w:t>
      </w:r>
    </w:p>
    <w:p w14:paraId="785CDA7C">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（三）团队人员要求</w:t>
      </w:r>
    </w:p>
    <w:p w14:paraId="2A4D52EE">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投标人须组建专项服务团队，至少包括：</w:t>
      </w:r>
    </w:p>
    <w:p w14:paraId="5E765856">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 项目经理1名，具备电力相关职称证书；</w:t>
      </w:r>
    </w:p>
    <w:p w14:paraId="38528C64">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 技术人员3名，分别持有高压电工与低压电工《特种作业操作证》。</w:t>
      </w:r>
    </w:p>
    <w:p w14:paraId="63A7F7AC">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团队需具备快速响应能力，保障电力故障及时处理。</w:t>
      </w:r>
    </w:p>
    <w:p w14:paraId="19ECE4BB">
      <w:p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（四）应急服务</w:t>
      </w:r>
    </w:p>
    <w:p w14:paraId="485472D6">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提供7×24小时服务热线与技术支持。</w:t>
      </w:r>
    </w:p>
    <w:p w14:paraId="3A3D8919">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咨询类问题1小时内响应；配电系统（高压及低压一级范围）故障报修30分钟内响应，2小时内到场。</w:t>
      </w:r>
    </w:p>
    <w:p w14:paraId="2B790600">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制定完善的应急处理方案，包括用电高峰保障、电力调度预案等。</w:t>
      </w:r>
    </w:p>
    <w:p w14:paraId="0701F93C">
      <w:pPr>
        <w:ind w:firstLine="280" w:firstLineChars="1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4. 结合医院实际情况编制应急预案，具备突发事件快速处置能力，包括抢修物资材料配给。</w:t>
      </w:r>
    </w:p>
    <w:p w14:paraId="3759C77E">
      <w:pPr>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（五）保障要求</w:t>
      </w:r>
    </w:p>
    <w:p w14:paraId="304A2149">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投标人须制定电力供应保障方案，具备价格风险、信用风险等防控措施。</w:t>
      </w:r>
    </w:p>
    <w:p w14:paraId="4A5ED175">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应具备充足的交易配额，确保采购人用电需求，不得因实际用电量与预估不符追究采购人责任。</w:t>
      </w:r>
    </w:p>
    <w:p w14:paraId="2170A7D9">
      <w:pPr>
        <w:ind w:firstLine="280" w:firstLineChars="1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通过多元化购电、智能调度等方式，保障电力供应稳定可靠。</w:t>
      </w:r>
    </w:p>
    <w:p w14:paraId="01DEF3F7">
      <w:pPr>
        <w:numPr>
          <w:ilvl w:val="0"/>
          <w:numId w:val="0"/>
        </w:numPr>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三、资质要求</w:t>
      </w:r>
    </w:p>
    <w:p w14:paraId="50B55817">
      <w:pPr>
        <w:numPr>
          <w:ilvl w:val="0"/>
          <w:numId w:val="0"/>
        </w:num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投标人需是已通过广东电力交易中心注册且具备交易资格的售电公司。</w:t>
      </w:r>
    </w:p>
    <w:p w14:paraId="3C446B08">
      <w:pPr>
        <w:numPr>
          <w:ilvl w:val="0"/>
          <w:numId w:val="0"/>
        </w:numPr>
        <w:ind w:firstLine="560" w:firstLineChars="200"/>
        <w:rPr>
          <w:rFonts w:hint="eastAsia" w:ascii="仿宋" w:hAnsi="仿宋" w:eastAsia="仿宋" w:cs="仿宋"/>
          <w:sz w:val="28"/>
          <w:szCs w:val="28"/>
          <w:lang w:val="en-US" w:eastAsia="zh-CN"/>
        </w:rPr>
      </w:pPr>
    </w:p>
    <w:p w14:paraId="40361478">
      <w:pPr>
        <w:numPr>
          <w:ilvl w:val="0"/>
          <w:numId w:val="0"/>
        </w:numPr>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四、报价表格模版</w:t>
      </w:r>
    </w:p>
    <w:p w14:paraId="5F840619">
      <w:pPr>
        <w:pStyle w:val="4"/>
        <w:spacing w:line="360" w:lineRule="auto"/>
        <w:rPr>
          <w:rFonts w:hint="eastAsia" w:ascii="仿宋" w:hAnsi="仿宋" w:eastAsia="仿宋"/>
          <w:color w:val="auto"/>
          <w:kern w:val="2"/>
          <w:lang w:bidi="ar"/>
        </w:rPr>
      </w:pPr>
      <w:r>
        <w:rPr>
          <w:rFonts w:hint="eastAsia" w:ascii="仿宋" w:hAnsi="仿宋" w:eastAsia="仿宋"/>
          <w:color w:val="auto"/>
          <w:kern w:val="2"/>
          <w:lang w:bidi="ar"/>
        </w:rPr>
        <w:t xml:space="preserve">项目名称：                                  </w:t>
      </w:r>
    </w:p>
    <w:tbl>
      <w:tblPr>
        <w:tblStyle w:val="2"/>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7443"/>
      </w:tblGrid>
      <w:tr w14:paraId="10773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9360" w:type="dxa"/>
            <w:gridSpan w:val="2"/>
            <w:tcBorders>
              <w:bottom w:val="single" w:color="auto" w:sz="2" w:space="0"/>
            </w:tcBorders>
            <w:vAlign w:val="center"/>
          </w:tcPr>
          <w:p w14:paraId="5A0BC451">
            <w:pPr>
              <w:rPr>
                <w:rFonts w:hint="default" w:ascii="仿宋" w:hAnsi="仿宋" w:eastAsia="仿宋" w:cs="宋体"/>
                <w:bCs/>
                <w:sz w:val="24"/>
                <w:lang w:val="en-US" w:eastAsia="zh-CN"/>
              </w:rPr>
            </w:pPr>
            <w:r>
              <w:rPr>
                <w:rFonts w:hint="eastAsia" w:ascii="仿宋" w:hAnsi="仿宋" w:eastAsia="仿宋" w:cs="宋体"/>
                <w:bCs/>
                <w:sz w:val="24"/>
                <w:lang w:val="en-US" w:eastAsia="zh-CN"/>
              </w:rPr>
              <w:t xml:space="preserve">   </w:t>
            </w:r>
            <w:r>
              <w:rPr>
                <w:rFonts w:hint="eastAsia" w:ascii="仿宋" w:hAnsi="仿宋" w:eastAsia="仿宋" w:cs="宋体"/>
                <w:b/>
                <w:bCs w:val="0"/>
                <w:sz w:val="21"/>
                <w:szCs w:val="21"/>
                <w:lang w:val="en-US" w:eastAsia="zh-CN"/>
              </w:rPr>
              <w:t>电能电费单价</w:t>
            </w:r>
            <w:r>
              <w:rPr>
                <w:rFonts w:hint="eastAsia" w:ascii="仿宋" w:hAnsi="仿宋" w:eastAsia="仿宋" w:cs="宋体"/>
                <w:bCs/>
                <w:sz w:val="21"/>
                <w:szCs w:val="21"/>
                <w:lang w:val="en-US" w:eastAsia="zh-CN"/>
              </w:rPr>
              <w:t>：</w:t>
            </w:r>
            <w:r>
              <w:rPr>
                <w:rFonts w:hint="eastAsia" w:ascii="仿宋" w:hAnsi="仿宋" w:eastAsia="仿宋" w:cs="宋体"/>
                <w:bCs/>
                <w:sz w:val="24"/>
                <w:lang w:val="en-US" w:eastAsia="zh-CN"/>
              </w:rPr>
              <w:t xml:space="preserve"> </w:t>
            </w:r>
            <w:r>
              <w:rPr>
                <w:rFonts w:hint="eastAsia" w:ascii="仿宋" w:hAnsi="仿宋" w:eastAsia="仿宋" w:cs="宋体"/>
                <w:bCs/>
                <w:sz w:val="24"/>
                <w:u w:val="single"/>
                <w:lang w:val="en-US" w:eastAsia="zh-CN"/>
              </w:rPr>
              <w:t xml:space="preserve">                      </w:t>
            </w:r>
            <w:r>
              <w:rPr>
                <w:rFonts w:hint="eastAsia" w:ascii="仿宋" w:hAnsi="仿宋" w:eastAsia="仿宋" w:cs="宋体"/>
                <w:bCs/>
                <w:sz w:val="24"/>
                <w:lang w:val="en-US" w:eastAsia="zh-CN"/>
              </w:rPr>
              <w:t>元/千瓦时</w:t>
            </w:r>
          </w:p>
        </w:tc>
      </w:tr>
      <w:tr w14:paraId="338B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1" w:hRule="atLeast"/>
          <w:jc w:val="center"/>
        </w:trPr>
        <w:tc>
          <w:tcPr>
            <w:tcW w:w="1917" w:type="dxa"/>
            <w:tcBorders>
              <w:bottom w:val="single" w:color="auto" w:sz="2" w:space="0"/>
            </w:tcBorders>
            <w:shd w:val="clear" w:color="auto" w:fill="auto"/>
            <w:vAlign w:val="center"/>
          </w:tcPr>
          <w:p w14:paraId="06716F7D">
            <w:pPr>
              <w:pStyle w:val="5"/>
              <w:widowControl w:val="0"/>
              <w:spacing w:before="0" w:beforeAutospacing="0" w:after="0" w:afterAutospacing="0" w:line="360" w:lineRule="auto"/>
              <w:ind w:firstLine="211" w:firstLineChars="100"/>
              <w:jc w:val="center"/>
              <w:rPr>
                <w:rFonts w:hint="eastAsia" w:ascii="仿宋" w:hAnsi="仿宋" w:eastAsia="仿宋" w:cs="宋体"/>
                <w:b/>
                <w:bCs/>
                <w:sz w:val="21"/>
                <w:szCs w:val="21"/>
                <w:lang w:val="en-US" w:eastAsia="zh-CN"/>
              </w:rPr>
            </w:pPr>
            <w:r>
              <w:rPr>
                <w:rFonts w:hint="eastAsia" w:ascii="仿宋" w:hAnsi="仿宋" w:eastAsia="仿宋" w:cs="宋体"/>
                <w:b/>
                <w:bCs/>
                <w:sz w:val="21"/>
                <w:szCs w:val="21"/>
                <w:lang w:val="en-US" w:eastAsia="zh-CN"/>
              </w:rPr>
              <w:t>预估电能需量</w:t>
            </w:r>
          </w:p>
          <w:p w14:paraId="42A55994">
            <w:pPr>
              <w:pStyle w:val="5"/>
              <w:widowControl w:val="0"/>
              <w:spacing w:before="0" w:beforeAutospacing="0" w:after="0" w:afterAutospacing="0" w:line="360" w:lineRule="auto"/>
              <w:ind w:firstLine="211" w:firstLineChars="100"/>
              <w:jc w:val="center"/>
              <w:rPr>
                <w:rFonts w:hint="eastAsia" w:ascii="仿宋" w:hAnsi="仿宋" w:eastAsia="仿宋" w:cs="宋体"/>
                <w:b/>
                <w:bCs/>
                <w:kern w:val="0"/>
                <w:sz w:val="21"/>
                <w:szCs w:val="21"/>
                <w:lang w:val="en-US" w:eastAsia="zh-CN" w:bidi="ar-SA"/>
                <w14:ligatures w14:val="none"/>
              </w:rPr>
            </w:pPr>
            <w:r>
              <w:rPr>
                <w:rFonts w:hint="eastAsia" w:ascii="仿宋" w:hAnsi="仿宋" w:eastAsia="仿宋" w:cs="宋体"/>
                <w:b/>
                <w:bCs/>
                <w:sz w:val="21"/>
                <w:szCs w:val="21"/>
              </w:rPr>
              <w:t>总报价</w:t>
            </w:r>
          </w:p>
        </w:tc>
        <w:tc>
          <w:tcPr>
            <w:tcW w:w="7443" w:type="dxa"/>
            <w:tcBorders>
              <w:bottom w:val="single" w:color="auto" w:sz="2" w:space="0"/>
            </w:tcBorders>
            <w:shd w:val="clear" w:color="auto" w:fill="auto"/>
            <w:vAlign w:val="center"/>
          </w:tcPr>
          <w:p w14:paraId="25688E9B">
            <w:pPr>
              <w:rPr>
                <w:rFonts w:hint="eastAsia" w:ascii="仿宋" w:hAnsi="仿宋" w:eastAsia="仿宋" w:cs="宋体"/>
                <w:bCs/>
                <w:kern w:val="2"/>
                <w:sz w:val="24"/>
                <w:szCs w:val="24"/>
                <w:lang w:val="en-US" w:eastAsia="zh-CN" w:bidi="ar-SA"/>
              </w:rPr>
            </w:pPr>
            <w:r>
              <w:rPr>
                <w:rFonts w:hint="eastAsia" w:ascii="仿宋" w:hAnsi="仿宋" w:eastAsia="仿宋" w:cs="宋体"/>
                <w:bCs/>
                <w:sz w:val="24"/>
              </w:rPr>
              <w:t>（大写）人民币                      元整（￥           元）</w:t>
            </w:r>
          </w:p>
        </w:tc>
      </w:tr>
      <w:tr w14:paraId="156CD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9360" w:type="dxa"/>
            <w:gridSpan w:val="2"/>
            <w:vAlign w:val="center"/>
          </w:tcPr>
          <w:p w14:paraId="4884458C">
            <w:pPr>
              <w:rPr>
                <w:rFonts w:hint="eastAsia" w:ascii="仿宋" w:hAnsi="仿宋" w:eastAsia="仿宋" w:cs="宋体"/>
                <w:bCs/>
                <w:sz w:val="24"/>
              </w:rPr>
            </w:pPr>
            <w:r>
              <w:rPr>
                <w:rFonts w:hint="eastAsia" w:ascii="仿宋" w:hAnsi="仿宋" w:eastAsia="仿宋" w:cs="宋体"/>
                <w:sz w:val="24"/>
              </w:rPr>
              <w:t>其他说明：</w:t>
            </w:r>
          </w:p>
        </w:tc>
      </w:tr>
    </w:tbl>
    <w:p w14:paraId="0CB22158">
      <w:pPr>
        <w:spacing w:line="360" w:lineRule="exact"/>
        <w:rPr>
          <w:rFonts w:hint="eastAsia" w:ascii="仿宋" w:hAnsi="仿宋" w:eastAsia="仿宋" w:cs="宋体"/>
          <w:szCs w:val="21"/>
        </w:rPr>
      </w:pPr>
      <w:r>
        <w:rPr>
          <w:rFonts w:hint="eastAsia" w:ascii="仿宋" w:hAnsi="仿宋" w:eastAsia="仿宋" w:cs="宋体"/>
          <w:szCs w:val="21"/>
        </w:rPr>
        <w:t>备注：1.投标人须按要求填写所有信息，不得随意更改本表格式。</w:t>
      </w:r>
    </w:p>
    <w:p w14:paraId="28B5D342">
      <w:pPr>
        <w:spacing w:line="360" w:lineRule="exact"/>
        <w:ind w:left="840" w:leftChars="300" w:hanging="210" w:hangingChars="100"/>
        <w:rPr>
          <w:rFonts w:hint="eastAsia" w:ascii="仿宋" w:hAnsi="仿宋" w:eastAsia="仿宋" w:cs="宋体"/>
          <w:szCs w:val="21"/>
        </w:rPr>
      </w:pPr>
      <w:r>
        <w:rPr>
          <w:rFonts w:hint="eastAsia" w:ascii="仿宋" w:hAnsi="仿宋" w:eastAsia="仿宋" w:cs="宋体"/>
          <w:szCs w:val="21"/>
        </w:rPr>
        <w:t>2.报价中必须包含采购项目清单所有内容以及完成采购物资所需的一齐辅材、售后服务、全额含税发票、合同实施过程中应预见和不可预见费用等一切费用。所有价格均应以人民币报价，金额单位为元。</w:t>
      </w:r>
    </w:p>
    <w:p w14:paraId="62765DD8">
      <w:pPr>
        <w:spacing w:line="360" w:lineRule="exact"/>
        <w:ind w:firstLine="630" w:firstLineChars="300"/>
        <w:rPr>
          <w:rFonts w:hint="eastAsia" w:ascii="仿宋" w:hAnsi="仿宋" w:eastAsia="仿宋" w:cs="宋体"/>
          <w:sz w:val="24"/>
        </w:rPr>
      </w:pPr>
      <w:r>
        <w:rPr>
          <w:rFonts w:hint="eastAsia" w:ascii="仿宋" w:hAnsi="仿宋" w:eastAsia="仿宋" w:cs="宋体"/>
          <w:szCs w:val="21"/>
        </w:rPr>
        <w:t>3.此表是报价文件的必要文件，是报价文件的组成部分。</w:t>
      </w:r>
      <w:r>
        <w:rPr>
          <w:rFonts w:hint="eastAsia" w:ascii="仿宋" w:hAnsi="仿宋" w:eastAsia="仿宋" w:cs="宋体"/>
          <w:sz w:val="24"/>
        </w:rPr>
        <w:t xml:space="preserve"> </w:t>
      </w:r>
    </w:p>
    <w:p w14:paraId="6BC9823D">
      <w:pPr>
        <w:numPr>
          <w:ilvl w:val="0"/>
          <w:numId w:val="0"/>
        </w:numPr>
        <w:rPr>
          <w:rFonts w:hint="default" w:ascii="仿宋" w:hAnsi="仿宋" w:eastAsia="仿宋" w:cs="仿宋"/>
          <w:sz w:val="28"/>
          <w:szCs w:val="28"/>
          <w:lang w:val="en-US" w:eastAsia="zh-CN"/>
        </w:rPr>
      </w:pPr>
    </w:p>
    <w:p w14:paraId="21DDC56D">
      <w:pPr>
        <w:numPr>
          <w:ilvl w:val="0"/>
          <w:numId w:val="0"/>
        </w:numPr>
        <w:rPr>
          <w:rFonts w:hint="eastAsia" w:ascii="仿宋" w:hAnsi="仿宋" w:eastAsia="仿宋" w:cs="仿宋"/>
          <w:sz w:val="28"/>
          <w:szCs w:val="28"/>
          <w:lang w:val="en-US" w:eastAsia="zh-CN"/>
        </w:rPr>
      </w:pPr>
    </w:p>
    <w:p w14:paraId="3A88FAE5">
      <w:pPr>
        <w:numPr>
          <w:ilvl w:val="0"/>
          <w:numId w:val="0"/>
        </w:numPr>
        <w:wordWrap w:val="0"/>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总 务 科   </w:t>
      </w:r>
    </w:p>
    <w:p w14:paraId="4CD3CE8A">
      <w:pPr>
        <w:numPr>
          <w:ilvl w:val="0"/>
          <w:numId w:val="0"/>
        </w:numPr>
        <w:jc w:val="righ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2026年4月28日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D66B8"/>
    <w:rsid w:val="0CBA74F8"/>
    <w:rsid w:val="11236662"/>
    <w:rsid w:val="129C53B0"/>
    <w:rsid w:val="1F2E0DD9"/>
    <w:rsid w:val="20AD071B"/>
    <w:rsid w:val="3DEC291A"/>
    <w:rsid w:val="3E0C5761"/>
    <w:rsid w:val="53EF0727"/>
    <w:rsid w:val="54074319"/>
    <w:rsid w:val="56DC1DCA"/>
    <w:rsid w:val="66FE2F37"/>
    <w:rsid w:val="6A464C09"/>
    <w:rsid w:val="708B1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xl25"/>
    <w:basedOn w:val="1"/>
    <w:qFormat/>
    <w:uiPriority w:val="0"/>
    <w:pPr>
      <w:widowControl/>
      <w:pBdr>
        <w:bottom w:val="single" w:color="auto" w:sz="4" w:space="0"/>
        <w:right w:val="single" w:color="auto" w:sz="4" w:space="0"/>
      </w:pBdr>
      <w:spacing w:before="100" w:beforeAutospacing="1" w:after="100" w:afterAutospacing="1" w:line="240" w:lineRule="auto"/>
      <w:jc w:val="center"/>
    </w:pPr>
    <w:rPr>
      <w:rFonts w:ascii="宋体" w:hAnsi="宋体" w:eastAsia="宋体" w:cs="Times New Roman"/>
      <w:kern w:val="0"/>
      <w:sz w:val="21"/>
      <w:szCs w:val="21"/>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1309</Words>
  <Characters>1382</Characters>
  <Lines>0</Lines>
  <Paragraphs>0</Paragraphs>
  <TotalTime>7</TotalTime>
  <ScaleCrop>false</ScaleCrop>
  <LinksUpToDate>false</LinksUpToDate>
  <CharactersWithSpaces>1520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2026-01-21T06:21:00Z</dcterms:created>
  <dc:creator>lidqian</dc:creator>
  <cp:lastModifiedBy>黎德德</cp:lastModifiedBy>
  <dcterms:modified xsi:type="dcterms:W3CDTF">2026-04-28T02:52:30Z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eyJoZGlkIjoiYjc4M2M3ZjFkMGJlNTBmOGI4MDIwOWQ4YTU3ZTdhMTUiLCJ1c2VySWQiOiI1OTQwMDEyMDQifQ==</vt:lpwstr>
  </property>
  <property fmtid="{D5CDD505-2E9C-101B-9397-08002B2CF9AE}" pid="4" name="ICV">
    <vt:lpwstr>36747C098A1F495CA3E91D57EF15C5CE_13</vt:lpwstr>
  </property>
</Properties>
</file>