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5683A5">
      <w:pPr>
        <w:pStyle w:val="7"/>
        <w:spacing w:before="450" w:beforeAutospacing="0" w:after="0" w:afterAutospacing="0" w:line="360" w:lineRule="atLeast"/>
        <w:ind w:firstLine="480"/>
        <w:jc w:val="center"/>
        <w:rPr>
          <w:rFonts w:ascii="微软雅黑" w:hAnsi="微软雅黑"/>
          <w:color w:val="333333"/>
          <w:sz w:val="40"/>
          <w:szCs w:val="40"/>
        </w:rPr>
      </w:pPr>
      <w:bookmarkStart w:id="0" w:name="_Toc14458"/>
      <w:r>
        <w:rPr>
          <w:rFonts w:hint="eastAsia" w:ascii="微软雅黑" w:hAnsi="微软雅黑" w:eastAsia="微软雅黑"/>
          <w:color w:val="000000"/>
          <w:sz w:val="40"/>
          <w:szCs w:val="40"/>
        </w:rPr>
        <w:t>广州医科大学附属第三医院两株木棉支撑服务项目采购需</w:t>
      </w:r>
      <w:bookmarkStart w:id="3" w:name="_GoBack"/>
      <w:bookmarkEnd w:id="3"/>
      <w:r>
        <w:rPr>
          <w:rFonts w:hint="eastAsia" w:ascii="微软雅黑" w:hAnsi="微软雅黑" w:eastAsia="微软雅黑"/>
          <w:color w:val="000000"/>
          <w:sz w:val="40"/>
          <w:szCs w:val="40"/>
        </w:rPr>
        <w:t>求</w:t>
      </w:r>
    </w:p>
    <w:p w14:paraId="658F9714">
      <w:pPr>
        <w:widowControl/>
        <w:jc w:val="left"/>
        <w:rPr>
          <w:rFonts w:ascii="黑体" w:hAnsi="黑体" w:eastAsia="黑体" w:cs="黑体"/>
          <w:b/>
          <w:bCs/>
          <w:sz w:val="28"/>
          <w:szCs w:val="28"/>
        </w:rPr>
      </w:pPr>
      <w:r>
        <w:rPr>
          <w:rFonts w:hint="eastAsia" w:ascii="黑体" w:hAnsi="黑体" w:eastAsia="黑体" w:cs="黑体"/>
          <w:b/>
          <w:bCs/>
          <w:sz w:val="28"/>
          <w:szCs w:val="28"/>
        </w:rPr>
        <w:t>一、</w:t>
      </w:r>
      <w:bookmarkEnd w:id="0"/>
      <w:r>
        <w:rPr>
          <w:rFonts w:hint="eastAsia" w:ascii="黑体" w:hAnsi="黑体" w:eastAsia="黑体" w:cs="黑体"/>
          <w:b/>
          <w:bCs/>
          <w:sz w:val="28"/>
          <w:szCs w:val="28"/>
        </w:rPr>
        <w:t>生长现状</w:t>
      </w:r>
    </w:p>
    <w:p w14:paraId="33E866E8">
      <w:pPr>
        <w:spacing w:line="500" w:lineRule="exact"/>
        <w:ind w:firstLine="560" w:firstLineChars="200"/>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1.1 基本生物学指标：‌ 目标树木为两株木棉（学名：Bombax ceiba），经现场测量，其树高约16米，胸径32厘米，冠幅约8米。经目测法及初步检查表明，树体整体长势处于正常生理范围内。</w:t>
      </w:r>
    </w:p>
    <w:p w14:paraId="7D5A3D15">
      <w:pPr>
        <w:spacing w:line="500" w:lineRule="exact"/>
        <w:ind w:firstLine="560" w:firstLineChars="200"/>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1.2 ‌立地环境与形态特征：‌</w:t>
      </w:r>
    </w:p>
    <w:p w14:paraId="634BCA3B">
      <w:pPr>
        <w:spacing w:line="500" w:lineRule="exact"/>
        <w:ind w:firstLine="560" w:firstLineChars="200"/>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1、‌倾斜状况：‌两株木棉均存在向东南方向约15°的倾斜。此倾斜原本已通过架设钢管支撑予以应对，当前支撑体系的着力点位于待拆除的附属建筑二层与三层墙体之上。</w:t>
      </w:r>
    </w:p>
    <w:p w14:paraId="6305114C">
      <w:pPr>
        <w:spacing w:line="500" w:lineRule="exact"/>
        <w:ind w:firstLine="560" w:firstLineChars="200"/>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2、‌根系空间与立地条件：‌ 树木现存于独立树池之内，树池外围已出现因乔木根系持续生长发育、径向扩张所导致的砌体结构开裂现象。树池内部现栽植有灌木层，经专业研判，木棉属深根系乔木，与表层灌木不存在显著的养分与空间竞争关系。然而，当前灌木种植密度较高，加之树池容积本身已无法满足乔木根系长期健康生长的空间需求，共同导致了根系区域的土壤透气性与呼吸作用受到显著抑制，立地环境总体评价为一般。</w:t>
      </w:r>
    </w:p>
    <w:p w14:paraId="0499B985">
      <w:pPr>
        <w:spacing w:line="240" w:lineRule="atLeast"/>
        <w:ind w:firstLine="560" w:firstLineChars="200"/>
        <w:jc w:val="center"/>
        <w:rPr>
          <w:rFonts w:ascii="宋体" w:hAnsi="宋体" w:eastAsia="仿宋" w:cs="宋体"/>
          <w:bCs/>
          <w:sz w:val="28"/>
          <w:szCs w:val="22"/>
        </w:rPr>
      </w:pPr>
      <w:r>
        <w:rPr>
          <w:rFonts w:ascii="宋体" w:hAnsi="宋体" w:eastAsia="仿宋" w:cs="宋体"/>
          <w:bCs/>
          <w:sz w:val="28"/>
          <w:szCs w:val="22"/>
        </w:rPr>
        <w:drawing>
          <wp:inline distT="0" distB="0" distL="114300" distR="114300">
            <wp:extent cx="3342640" cy="4459605"/>
            <wp:effectExtent l="0" t="0" r="10160" b="17145"/>
            <wp:docPr id="1" name="图片 1" descr="e71408c65809443c0a2c1d83b4a83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71408c65809443c0a2c1d83b4a833c"/>
                    <pic:cNvPicPr>
                      <a:picLocks noChangeAspect="1"/>
                    </pic:cNvPicPr>
                  </pic:nvPicPr>
                  <pic:blipFill>
                    <a:blip r:embed="rId5"/>
                    <a:stretch>
                      <a:fillRect/>
                    </a:stretch>
                  </pic:blipFill>
                  <pic:spPr>
                    <a:xfrm>
                      <a:off x="0" y="0"/>
                      <a:ext cx="3342640" cy="4459605"/>
                    </a:xfrm>
                    <a:prstGeom prst="rect">
                      <a:avLst/>
                    </a:prstGeom>
                  </pic:spPr>
                </pic:pic>
              </a:graphicData>
            </a:graphic>
          </wp:inline>
        </w:drawing>
      </w:r>
    </w:p>
    <w:p w14:paraId="3E741AB2">
      <w:pPr>
        <w:spacing w:line="240" w:lineRule="atLeast"/>
        <w:ind w:firstLine="420" w:firstLineChars="200"/>
        <w:jc w:val="center"/>
        <w:rPr>
          <w:rFonts w:ascii="仿宋_GB2312" w:hAnsi="仿宋_GB2312" w:eastAsia="仿宋_GB2312" w:cs="仿宋_GB2312"/>
          <w:bCs/>
          <w:szCs w:val="18"/>
        </w:rPr>
      </w:pPr>
      <w:r>
        <w:rPr>
          <w:rFonts w:hint="eastAsia" w:ascii="仿宋_GB2312" w:hAnsi="仿宋_GB2312" w:eastAsia="仿宋_GB2312" w:cs="仿宋_GB2312"/>
          <w:bCs/>
          <w:szCs w:val="18"/>
        </w:rPr>
        <w:t>图1 整体生长势正常</w:t>
      </w:r>
    </w:p>
    <w:p w14:paraId="4D12877B">
      <w:pPr>
        <w:widowControl/>
        <w:jc w:val="left"/>
        <w:rPr>
          <w:rFonts w:ascii="黑体" w:hAnsi="黑体" w:eastAsia="黑体" w:cs="黑体"/>
          <w:b/>
          <w:bCs/>
          <w:sz w:val="28"/>
          <w:szCs w:val="28"/>
        </w:rPr>
      </w:pPr>
      <w:r>
        <w:rPr>
          <w:rFonts w:hint="eastAsia" w:ascii="黑体" w:hAnsi="黑体" w:eastAsia="黑体" w:cs="黑体"/>
          <w:b/>
          <w:bCs/>
          <w:sz w:val="28"/>
          <w:szCs w:val="28"/>
        </w:rPr>
        <w:t>二、风险分析与保护必要性</w:t>
      </w:r>
    </w:p>
    <w:p w14:paraId="797FE92D">
      <w:pPr>
        <w:spacing w:line="500" w:lineRule="exact"/>
        <w:ind w:firstLine="560" w:firstLineChars="200"/>
        <w:jc w:val="left"/>
        <w:rPr>
          <w:rFonts w:ascii="仿宋_GB2312" w:hAnsi="仿宋_GB2312" w:eastAsia="仿宋_GB2312" w:cs="仿宋_GB2312"/>
          <w:bCs/>
          <w:sz w:val="28"/>
          <w:szCs w:val="28"/>
        </w:rPr>
      </w:pPr>
      <w:r>
        <w:rPr>
          <w:rFonts w:hint="eastAsia" w:ascii="宋体" w:hAnsi="宋体" w:eastAsia="仿宋" w:cs="宋体"/>
          <w:bCs/>
          <w:sz w:val="28"/>
          <w:szCs w:val="22"/>
        </w:rPr>
        <w:t>2.1结构性风险：</w:t>
      </w:r>
      <w:r>
        <w:rPr>
          <w:rFonts w:hint="eastAsia" w:ascii="仿宋_GB2312" w:hAnsi="仿宋_GB2312" w:eastAsia="仿宋_GB2312" w:cs="仿宋_GB2312"/>
          <w:bCs/>
          <w:sz w:val="28"/>
          <w:szCs w:val="28"/>
        </w:rPr>
        <w:t>‌ 树木存在的倾角，结合其较大的树高与冠幅，在极端天气（如强风、暴雨）条件下，存在倒伏或大枝断裂的安全隐患。现有支撑体系因附着于待拆建筑而即将失效，风险加剧。</w:t>
      </w:r>
    </w:p>
    <w:p w14:paraId="4CB724DD">
      <w:pPr>
        <w:spacing w:line="500" w:lineRule="exact"/>
        <w:ind w:firstLine="560" w:firstLineChars="200"/>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2.2‌生理性风险：‌ 受限的根系生长空间及受阻的土壤通气条件，长期将影响树木水分与养分的吸收、运输，可能导致树势衰退，抗逆性下降，不利于其可持续健康生长。</w:t>
      </w:r>
    </w:p>
    <w:p w14:paraId="790D3F9F">
      <w:pPr>
        <w:spacing w:line="500" w:lineRule="exact"/>
        <w:ind w:firstLine="560" w:firstLineChars="200"/>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保护这两株木棉，不仅是履行城市绿化保护职责的体现，也是对院区历史文脉（毗邻登记保护文物林护堂）与生态环境的珍视。</w:t>
      </w:r>
    </w:p>
    <w:p w14:paraId="250A9505">
      <w:pPr>
        <w:spacing w:line="500" w:lineRule="exact"/>
        <w:ind w:firstLine="560" w:firstLineChars="200"/>
        <w:jc w:val="left"/>
        <w:rPr>
          <w:rFonts w:ascii="仿宋_GB2312" w:hAnsi="仿宋_GB2312" w:eastAsia="仿宋_GB2312" w:cs="仿宋_GB2312"/>
          <w:bCs/>
          <w:sz w:val="28"/>
          <w:szCs w:val="28"/>
        </w:rPr>
      </w:pPr>
    </w:p>
    <w:p w14:paraId="1E6DB86F">
      <w:pPr>
        <w:spacing w:line="500" w:lineRule="exact"/>
        <w:jc w:val="left"/>
        <w:rPr>
          <w:rFonts w:ascii="仿宋_GB2312" w:hAnsi="仿宋_GB2312" w:eastAsia="仿宋_GB2312" w:cs="仿宋_GB2312"/>
          <w:bCs/>
          <w:sz w:val="28"/>
          <w:szCs w:val="28"/>
        </w:rPr>
      </w:pPr>
      <w:r>
        <w:rPr>
          <w:rFonts w:hint="eastAsia" w:ascii="黑体" w:hAnsi="黑体" w:eastAsia="黑体" w:cs="黑体"/>
          <w:b/>
          <w:bCs/>
          <w:sz w:val="28"/>
          <w:szCs w:val="28"/>
        </w:rPr>
        <w:t>三、技术要求</w:t>
      </w:r>
      <w:r>
        <w:rPr>
          <w:rFonts w:hint="eastAsia" w:ascii="仿宋_GB2312" w:hAnsi="仿宋_GB2312" w:eastAsia="仿宋_GB2312" w:cs="仿宋_GB2312"/>
          <w:bCs/>
          <w:sz w:val="28"/>
          <w:szCs w:val="28"/>
        </w:rPr>
        <w:t>‌</w:t>
      </w:r>
    </w:p>
    <w:p w14:paraId="459249F3">
      <w:pPr>
        <w:spacing w:line="500" w:lineRule="exact"/>
        <w:ind w:firstLine="400" w:firstLineChars="200"/>
        <w:jc w:val="left"/>
        <w:rPr>
          <w:rFonts w:ascii="仿宋_GB2312" w:hAnsi="仿宋_GB2312" w:eastAsia="仿宋_GB2312" w:cs="仿宋_GB2312"/>
          <w:bCs/>
          <w:sz w:val="28"/>
          <w:szCs w:val="28"/>
        </w:rPr>
      </w:pPr>
      <w:r>
        <w:rPr>
          <w:rFonts w:hint="eastAsia" w:ascii="宋体" w:hAnsi="宋体" w:eastAsia="宋体" w:cs="宋体"/>
          <w:color w:val="333333"/>
          <w:sz w:val="20"/>
          <w:szCs w:val="20"/>
          <w:shd w:val="clear" w:color="auto" w:fill="FFFFFF"/>
        </w:rPr>
        <w:t>★</w:t>
      </w:r>
      <w:r>
        <w:rPr>
          <w:rFonts w:hint="eastAsia" w:ascii="仿宋_GB2312" w:hAnsi="仿宋_GB2312" w:eastAsia="仿宋_GB2312" w:cs="仿宋_GB2312"/>
          <w:bCs/>
          <w:sz w:val="28"/>
          <w:szCs w:val="28"/>
        </w:rPr>
        <w:t>3.1</w:t>
      </w:r>
      <w:r>
        <w:rPr>
          <w:rFonts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rPr>
        <w:t>需编制专项技术服务方案，方案须由具备资质的设计单位编制，并充分考虑以下核心要素：</w:t>
      </w:r>
    </w:p>
    <w:p w14:paraId="325E3883">
      <w:pPr>
        <w:spacing w:line="500" w:lineRule="exact"/>
        <w:ind w:firstLine="560" w:firstLineChars="200"/>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①</w:t>
      </w:r>
      <w:r>
        <w:rPr>
          <w:rFonts w:hint="eastAsia" w:ascii="MS Gothic" w:hAnsi="MS Gothic" w:eastAsia="MS Gothic" w:cs="MS Gothic"/>
          <w:bCs/>
          <w:sz w:val="28"/>
          <w:szCs w:val="28"/>
        </w:rPr>
        <w:t>‌</w:t>
      </w:r>
      <w:r>
        <w:rPr>
          <w:rFonts w:hint="eastAsia" w:ascii="仿宋_GB2312" w:hAnsi="仿宋_GB2312" w:eastAsia="仿宋_GB2312" w:cs="仿宋_GB2312"/>
          <w:bCs/>
          <w:sz w:val="28"/>
          <w:szCs w:val="28"/>
        </w:rPr>
        <w:t>结构安全与耐久性：进行严谨的结构力学计算与设计，确保支撑体系能抵御本地10级台风。材料须防腐耐久，基础设计满足长期承载要求。</w:t>
      </w:r>
    </w:p>
    <w:p w14:paraId="3484D361">
      <w:pPr>
        <w:spacing w:line="500" w:lineRule="exact"/>
        <w:ind w:firstLine="560" w:firstLineChars="200"/>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②</w:t>
      </w:r>
      <w:r>
        <w:rPr>
          <w:rFonts w:hint="eastAsia" w:ascii="MS Gothic" w:hAnsi="MS Gothic" w:eastAsia="MS Gothic" w:cs="MS Gothic"/>
          <w:bCs/>
          <w:sz w:val="28"/>
          <w:szCs w:val="28"/>
        </w:rPr>
        <w:t>‌</w:t>
      </w:r>
      <w:r>
        <w:rPr>
          <w:rFonts w:hint="eastAsia" w:ascii="仿宋_GB2312" w:hAnsi="仿宋_GB2312" w:eastAsia="仿宋_GB2312" w:cs="仿宋_GB2312"/>
          <w:bCs/>
          <w:sz w:val="28"/>
          <w:szCs w:val="28"/>
        </w:rPr>
        <w:t>环境融合与美观：</w:t>
      </w:r>
      <w:r>
        <w:rPr>
          <w:rFonts w:hint="eastAsia" w:ascii="MS Gothic" w:hAnsi="MS Gothic" w:eastAsia="MS Gothic" w:cs="MS Gothic"/>
          <w:bCs/>
          <w:sz w:val="28"/>
          <w:szCs w:val="28"/>
        </w:rPr>
        <w:t>‌</w:t>
      </w:r>
      <w:r>
        <w:rPr>
          <w:rFonts w:hint="eastAsia" w:ascii="仿宋_GB2312" w:hAnsi="仿宋_GB2312" w:eastAsia="仿宋_GB2312" w:cs="仿宋_GB2312"/>
          <w:bCs/>
          <w:sz w:val="28"/>
          <w:szCs w:val="28"/>
        </w:rPr>
        <w:t>支撑结构的形式、颜色、质感应与医院院区宁静、整洁的环境氛围相协调，并考虑与邻近文物建筑“林护堂”的历史风貌取得视觉上的和谐（投标人需提供效果图）。</w:t>
      </w:r>
    </w:p>
    <w:p w14:paraId="1A9EA3A5">
      <w:pPr>
        <w:spacing w:line="500" w:lineRule="exact"/>
        <w:ind w:firstLine="560" w:firstLineChars="200"/>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③人文关怀：设计需兼顾行人安全、无障碍通行及视觉景观需求，避免对医患活动造成干扰，实现功能与美观的统一。</w:t>
      </w:r>
    </w:p>
    <w:p w14:paraId="5CDF6F68">
      <w:pPr>
        <w:spacing w:line="500" w:lineRule="exact"/>
        <w:ind w:firstLine="560" w:firstLineChars="200"/>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④</w:t>
      </w:r>
      <w:r>
        <w:rPr>
          <w:rFonts w:hint="eastAsia" w:ascii="MS Gothic" w:hAnsi="MS Gothic" w:eastAsia="MS Gothic" w:cs="MS Gothic"/>
          <w:bCs/>
          <w:sz w:val="28"/>
          <w:szCs w:val="28"/>
        </w:rPr>
        <w:t>‌</w:t>
      </w:r>
      <w:r>
        <w:rPr>
          <w:rFonts w:hint="eastAsia" w:ascii="仿宋_GB2312" w:hAnsi="仿宋_GB2312" w:eastAsia="仿宋_GB2312" w:cs="仿宋_GB2312"/>
          <w:bCs/>
          <w:sz w:val="28"/>
          <w:szCs w:val="28"/>
        </w:rPr>
        <w:t>项目实施：</w:t>
      </w:r>
      <w:r>
        <w:rPr>
          <w:rFonts w:hint="eastAsia" w:ascii="MS Gothic" w:hAnsi="MS Gothic" w:eastAsia="MS Gothic" w:cs="MS Gothic"/>
          <w:bCs/>
          <w:sz w:val="28"/>
          <w:szCs w:val="28"/>
        </w:rPr>
        <w:t>‌</w:t>
      </w:r>
      <w:r>
        <w:rPr>
          <w:rFonts w:hint="eastAsia" w:ascii="仿宋_GB2312" w:hAnsi="仿宋_GB2312" w:eastAsia="仿宋_GB2312" w:cs="仿宋_GB2312"/>
          <w:bCs/>
          <w:sz w:val="28"/>
          <w:szCs w:val="28"/>
        </w:rPr>
        <w:t>按专项设计方案实施，支撑验收合格后，方可安全拆除临时支撑系统，并由投标人处理临时支撑的材料。且为保证钢管支撑强度应采用镀锌钢管，且直径在100mm以上。</w:t>
      </w:r>
    </w:p>
    <w:p w14:paraId="4B93253B">
      <w:pPr>
        <w:spacing w:line="500" w:lineRule="exact"/>
        <w:jc w:val="left"/>
        <w:rPr>
          <w:rFonts w:ascii="仿宋_GB2312" w:hAnsi="仿宋_GB2312" w:eastAsia="仿宋_GB2312" w:cs="仿宋_GB2312"/>
          <w:bCs/>
          <w:sz w:val="28"/>
          <w:szCs w:val="28"/>
        </w:rPr>
      </w:pPr>
    </w:p>
    <w:p w14:paraId="0E464677">
      <w:pPr>
        <w:spacing w:line="500" w:lineRule="exact"/>
        <w:ind w:firstLine="280" w:firstLineChars="100"/>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3.2现场勘察：</w:t>
      </w:r>
      <w:r>
        <w:rPr>
          <w:rFonts w:hint="eastAsia" w:ascii="MS Gothic" w:hAnsi="MS Gothic" w:eastAsia="MS Gothic" w:cs="MS Gothic"/>
          <w:bCs/>
          <w:sz w:val="28"/>
          <w:szCs w:val="28"/>
        </w:rPr>
        <w:t>‌</w:t>
      </w:r>
    </w:p>
    <w:p w14:paraId="0C29C5DE">
      <w:pPr>
        <w:numPr>
          <w:ilvl w:val="0"/>
          <w:numId w:val="2"/>
        </w:numPr>
        <w:spacing w:line="500" w:lineRule="exact"/>
        <w:ind w:firstLine="560" w:firstLineChars="200"/>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现场地下医疗设备管线、电缆管线复杂，需</w:t>
      </w:r>
      <w:bookmarkStart w:id="1" w:name="OLE_LINK7"/>
      <w:bookmarkStart w:id="2" w:name="OLE_LINK6"/>
      <w:r>
        <w:rPr>
          <w:rFonts w:hint="eastAsia" w:ascii="仿宋_GB2312" w:hAnsi="仿宋_GB2312" w:eastAsia="仿宋_GB2312" w:cs="仿宋_GB2312"/>
          <w:bCs/>
          <w:sz w:val="28"/>
          <w:szCs w:val="28"/>
        </w:rPr>
        <w:t>投标人</w:t>
      </w:r>
      <w:bookmarkEnd w:id="1"/>
      <w:bookmarkEnd w:id="2"/>
      <w:r>
        <w:rPr>
          <w:rFonts w:hint="eastAsia" w:ascii="仿宋_GB2312" w:hAnsi="仿宋_GB2312" w:eastAsia="仿宋_GB2312" w:cs="仿宋_GB2312"/>
          <w:bCs/>
          <w:sz w:val="28"/>
          <w:szCs w:val="28"/>
        </w:rPr>
        <w:t>自行勘探，若施工过程中损坏重要设备管线，需投标人照价赔偿以及修复；</w:t>
      </w:r>
    </w:p>
    <w:p w14:paraId="1CD0CBA4">
      <w:pPr>
        <w:numPr>
          <w:ilvl w:val="0"/>
          <w:numId w:val="2"/>
        </w:numPr>
        <w:spacing w:line="500" w:lineRule="exact"/>
        <w:ind w:firstLine="560" w:firstLineChars="200"/>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两株木棉紧邻文物建筑“林护堂”，施工过程中若损坏文物，则由投标人承担相关单位处罚及修复的全部责任。</w:t>
      </w:r>
    </w:p>
    <w:p w14:paraId="68C475F3">
      <w:pPr>
        <w:spacing w:line="500" w:lineRule="exact"/>
        <w:ind w:left="420" w:left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‌3.3质保期：验收合格当日后1年</w:t>
      </w:r>
    </w:p>
    <w:p w14:paraId="140B950C">
      <w:pPr>
        <w:rPr>
          <w:rFonts w:hint="eastAsia" w:ascii="仿宋_GB2312" w:hAnsi="仿宋_GB2312" w:eastAsia="仿宋_GB2312" w:cs="仿宋_GB2312"/>
          <w:bCs/>
          <w:sz w:val="28"/>
          <w:szCs w:val="28"/>
        </w:rPr>
      </w:pPr>
    </w:p>
    <w:p w14:paraId="302D0274">
      <w:pPr>
        <w:pStyle w:val="2"/>
        <w:numPr>
          <w:numId w:val="0"/>
        </w:numPr>
        <w:ind w:leftChars="0"/>
        <w:jc w:val="both"/>
      </w:pPr>
    </w:p>
    <w:p w14:paraId="44087AD7">
      <w:pPr>
        <w:rPr>
          <w:rFonts w:hint="eastAsia" w:ascii="仿宋_GB2312" w:hAnsi="仿宋_GB2312" w:eastAsia="仿宋_GB2312" w:cs="仿宋_GB2312"/>
          <w:bCs/>
          <w:sz w:val="28"/>
          <w:szCs w:val="28"/>
        </w:rPr>
      </w:pPr>
    </w:p>
    <w:p w14:paraId="318A003B">
      <w:pPr>
        <w:tabs>
          <w:tab w:val="left" w:pos="489"/>
          <w:tab w:val="center" w:pos="4677"/>
        </w:tabs>
        <w:jc w:val="center"/>
        <w:rPr>
          <w:rFonts w:hint="eastAsia" w:ascii="宋体" w:hAnsi="宋体"/>
          <w:b/>
          <w:bCs/>
          <w:spacing w:val="30"/>
          <w:sz w:val="32"/>
          <w:szCs w:val="32"/>
          <w:u w:val="none"/>
        </w:rPr>
      </w:pPr>
      <w:r>
        <w:rPr>
          <w:rFonts w:hint="eastAsia" w:ascii="宋体" w:hAnsi="宋体" w:eastAsia="宋体" w:cs="宋体"/>
          <w:b/>
          <w:bCs/>
          <w:sz w:val="32"/>
          <w:szCs w:val="32"/>
          <w:u w:val="none"/>
          <w:lang w:val="en-US" w:eastAsia="zh-CN"/>
        </w:rPr>
        <w:t>广州医科大学附属第三医院两株木棉支撑服务项目报价表</w:t>
      </w:r>
    </w:p>
    <w:p w14:paraId="50DDFD02">
      <w:pPr>
        <w:tabs>
          <w:tab w:val="left" w:pos="489"/>
          <w:tab w:val="center" w:pos="4677"/>
        </w:tabs>
        <w:jc w:val="center"/>
        <w:rPr>
          <w:rFonts w:hint="eastAsia" w:eastAsia="隶书"/>
          <w:b/>
          <w:spacing w:val="30"/>
          <w:sz w:val="24"/>
        </w:rPr>
      </w:pPr>
    </w:p>
    <w:p w14:paraId="25D49682">
      <w:pPr>
        <w:numPr>
          <w:ilvl w:val="0"/>
          <w:numId w:val="3"/>
        </w:numPr>
        <w:jc w:val="left"/>
        <w:rPr>
          <w:rFonts w:hint="eastAsia" w:ascii="楷体_GB2312" w:eastAsia="楷体_GB2312"/>
          <w:sz w:val="24"/>
        </w:rPr>
      </w:pPr>
      <w:r>
        <w:rPr>
          <w:rFonts w:hint="eastAsia" w:ascii="楷体_GB2312" w:eastAsia="楷体_GB2312"/>
          <w:b/>
          <w:sz w:val="24"/>
        </w:rPr>
        <w:t>报价表</w:t>
      </w:r>
      <w:r>
        <w:rPr>
          <w:rFonts w:hint="eastAsia" w:ascii="楷体_GB2312" w:eastAsia="楷体_GB2312"/>
          <w:sz w:val="24"/>
        </w:rPr>
        <w:t xml:space="preserve">  </w:t>
      </w:r>
    </w:p>
    <w:p w14:paraId="3A75D98E">
      <w:pPr>
        <w:numPr>
          <w:numId w:val="0"/>
        </w:numPr>
        <w:jc w:val="right"/>
        <w:rPr>
          <w:rFonts w:hint="eastAsia" w:ascii="楷体_GB2312" w:eastAsia="楷体_GB2312"/>
          <w:sz w:val="24"/>
        </w:rPr>
      </w:pPr>
      <w:r>
        <w:rPr>
          <w:rFonts w:hint="eastAsia" w:ascii="楷体_GB2312" w:eastAsia="楷体_GB2312"/>
          <w:sz w:val="24"/>
        </w:rPr>
        <w:t xml:space="preserve">单位：元   </w:t>
      </w:r>
      <w:r>
        <w:rPr>
          <w:rFonts w:hint="eastAsia" w:ascii="楷体_GB2312" w:eastAsia="楷体_GB2312"/>
          <w:sz w:val="24"/>
          <w:lang w:val="en-US" w:eastAsia="zh-CN"/>
        </w:rPr>
        <w:t xml:space="preserve">                                                                                           </w:t>
      </w:r>
      <w:r>
        <w:rPr>
          <w:rFonts w:hint="eastAsia" w:ascii="楷体_GB2312" w:eastAsia="楷体_GB2312"/>
          <w:sz w:val="24"/>
        </w:rPr>
        <w:t xml:space="preserve">  </w:t>
      </w:r>
    </w:p>
    <w:tbl>
      <w:tblPr>
        <w:tblStyle w:val="8"/>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3365"/>
        <w:gridCol w:w="1668"/>
        <w:gridCol w:w="1668"/>
        <w:gridCol w:w="699"/>
        <w:gridCol w:w="1200"/>
      </w:tblGrid>
      <w:tr w14:paraId="70FA5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2" w:type="pct"/>
            <w:tcBorders>
              <w:bottom w:val="single" w:color="auto" w:sz="4" w:space="0"/>
            </w:tcBorders>
            <w:noWrap w:val="0"/>
            <w:vAlign w:val="center"/>
          </w:tcPr>
          <w:p w14:paraId="3DEE5AA9">
            <w:pPr>
              <w:snapToGrid w:val="0"/>
              <w:rPr>
                <w:rFonts w:hint="eastAsia" w:ascii="楷体_GB2312" w:hAnsi="Times New Roman" w:eastAsia="楷体_GB2312" w:cs="Times New Roman"/>
                <w:sz w:val="24"/>
              </w:rPr>
            </w:pPr>
            <w:r>
              <w:rPr>
                <w:rFonts w:hint="eastAsia" w:ascii="楷体_GB2312" w:hAnsi="Times New Roman" w:eastAsia="楷体_GB2312" w:cs="Times New Roman"/>
                <w:sz w:val="24"/>
              </w:rPr>
              <w:t>序</w:t>
            </w:r>
          </w:p>
        </w:tc>
        <w:tc>
          <w:tcPr>
            <w:tcW w:w="1858" w:type="pct"/>
            <w:tcBorders>
              <w:bottom w:val="single" w:color="auto" w:sz="4" w:space="0"/>
            </w:tcBorders>
            <w:noWrap w:val="0"/>
            <w:vAlign w:val="center"/>
          </w:tcPr>
          <w:p w14:paraId="2DA81567">
            <w:pPr>
              <w:snapToGrid w:val="0"/>
              <w:jc w:val="center"/>
              <w:rPr>
                <w:rFonts w:hint="eastAsia" w:ascii="楷体_GB2312" w:hAnsi="Times New Roman" w:eastAsia="楷体_GB2312" w:cs="Times New Roman"/>
                <w:sz w:val="24"/>
                <w:lang w:val="en-US" w:eastAsia="zh-CN"/>
              </w:rPr>
            </w:pPr>
            <w:r>
              <w:rPr>
                <w:rFonts w:hint="eastAsia" w:ascii="楷体_GB2312" w:hAnsi="Times New Roman" w:eastAsia="楷体_GB2312" w:cs="Times New Roman"/>
                <w:sz w:val="24"/>
                <w:lang w:eastAsia="zh-CN"/>
              </w:rPr>
              <w:t>项目</w:t>
            </w:r>
            <w:r>
              <w:rPr>
                <w:rFonts w:hint="eastAsia" w:ascii="楷体_GB2312" w:hAnsi="Times New Roman" w:eastAsia="楷体_GB2312" w:cs="Times New Roman"/>
                <w:sz w:val="24"/>
              </w:rPr>
              <w:t>名称</w:t>
            </w:r>
          </w:p>
        </w:tc>
        <w:tc>
          <w:tcPr>
            <w:tcW w:w="921" w:type="pct"/>
            <w:tcBorders>
              <w:bottom w:val="single" w:color="auto" w:sz="4" w:space="0"/>
            </w:tcBorders>
            <w:noWrap w:val="0"/>
            <w:vAlign w:val="center"/>
          </w:tcPr>
          <w:p w14:paraId="5E79F5E1">
            <w:pPr>
              <w:snapToGrid w:val="0"/>
              <w:jc w:val="center"/>
              <w:rPr>
                <w:rFonts w:hint="eastAsia" w:ascii="楷体_GB2312" w:hAnsi="Times New Roman" w:eastAsia="楷体_GB2312" w:cs="Times New Roman"/>
                <w:sz w:val="24"/>
                <w:lang w:val="en-US" w:eastAsia="zh-CN"/>
              </w:rPr>
            </w:pPr>
            <w:r>
              <w:rPr>
                <w:rFonts w:hint="eastAsia" w:ascii="楷体_GB2312" w:hAnsi="Times New Roman" w:eastAsia="楷体_GB2312" w:cs="Times New Roman"/>
                <w:sz w:val="24"/>
                <w:lang w:val="en-US" w:eastAsia="zh-CN"/>
              </w:rPr>
              <w:t>产品要求</w:t>
            </w:r>
          </w:p>
        </w:tc>
        <w:tc>
          <w:tcPr>
            <w:tcW w:w="921" w:type="pct"/>
            <w:tcBorders>
              <w:bottom w:val="single" w:color="auto" w:sz="4" w:space="0"/>
            </w:tcBorders>
            <w:noWrap w:val="0"/>
            <w:vAlign w:val="center"/>
          </w:tcPr>
          <w:p w14:paraId="45E16B9E">
            <w:pPr>
              <w:snapToGrid w:val="0"/>
              <w:jc w:val="center"/>
              <w:rPr>
                <w:rFonts w:hint="eastAsia" w:ascii="楷体_GB2312" w:hAnsi="Times New Roman" w:eastAsia="楷体_GB2312" w:cs="Times New Roman"/>
                <w:sz w:val="24"/>
                <w:lang w:val="en-US" w:eastAsia="zh-CN"/>
              </w:rPr>
            </w:pPr>
            <w:r>
              <w:rPr>
                <w:rFonts w:hint="eastAsia" w:ascii="楷体_GB2312" w:hAnsi="Times New Roman" w:eastAsia="楷体_GB2312" w:cs="Times New Roman"/>
                <w:sz w:val="24"/>
                <w:lang w:eastAsia="zh-CN"/>
              </w:rPr>
              <w:t>服务要求</w:t>
            </w:r>
          </w:p>
        </w:tc>
        <w:tc>
          <w:tcPr>
            <w:tcW w:w="386" w:type="pct"/>
            <w:tcBorders>
              <w:bottom w:val="single" w:color="auto" w:sz="4" w:space="0"/>
            </w:tcBorders>
            <w:noWrap w:val="0"/>
            <w:vAlign w:val="center"/>
          </w:tcPr>
          <w:p w14:paraId="5C21B161">
            <w:pPr>
              <w:snapToGrid w:val="0"/>
              <w:jc w:val="center"/>
              <w:rPr>
                <w:rFonts w:hint="eastAsia" w:ascii="楷体_GB2312" w:hAnsi="Times New Roman" w:eastAsia="楷体_GB2312" w:cs="Times New Roman"/>
                <w:sz w:val="24"/>
                <w:lang w:val="en-US" w:eastAsia="zh-CN"/>
              </w:rPr>
            </w:pPr>
            <w:r>
              <w:rPr>
                <w:rFonts w:hint="eastAsia" w:ascii="楷体_GB2312" w:hAnsi="Times New Roman" w:eastAsia="楷体_GB2312" w:cs="Times New Roman"/>
                <w:sz w:val="24"/>
                <w:lang w:eastAsia="zh-CN"/>
              </w:rPr>
              <w:t>数量</w:t>
            </w:r>
          </w:p>
        </w:tc>
        <w:tc>
          <w:tcPr>
            <w:tcW w:w="658" w:type="pct"/>
            <w:tcBorders>
              <w:bottom w:val="single" w:color="auto" w:sz="4" w:space="0"/>
            </w:tcBorders>
            <w:noWrap w:val="0"/>
            <w:vAlign w:val="center"/>
          </w:tcPr>
          <w:p w14:paraId="54DCCA34">
            <w:pPr>
              <w:snapToGrid w:val="0"/>
              <w:jc w:val="center"/>
              <w:rPr>
                <w:rFonts w:hint="default" w:ascii="楷体_GB2312" w:hAnsi="Times New Roman" w:eastAsia="楷体_GB2312" w:cs="Times New Roman"/>
                <w:sz w:val="24"/>
                <w:lang w:val="en-US" w:eastAsia="zh-CN"/>
              </w:rPr>
            </w:pPr>
            <w:r>
              <w:rPr>
                <w:rFonts w:hint="eastAsia" w:ascii="楷体_GB2312" w:hAnsi="Times New Roman" w:eastAsia="楷体_GB2312" w:cs="Times New Roman"/>
                <w:sz w:val="24"/>
                <w:lang w:val="en-US" w:eastAsia="zh-CN"/>
              </w:rPr>
              <w:t>采购限价</w:t>
            </w:r>
          </w:p>
        </w:tc>
      </w:tr>
      <w:tr w14:paraId="688A3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2" w:type="pct"/>
            <w:noWrap w:val="0"/>
            <w:vAlign w:val="center"/>
          </w:tcPr>
          <w:p w14:paraId="1B34CB09">
            <w:pPr>
              <w:snapToGrid w:val="0"/>
              <w:rPr>
                <w:rFonts w:hint="eastAsia" w:ascii="楷体_GB2312" w:hAnsi="Times New Roman" w:eastAsia="楷体_GB2312" w:cs="Times New Roman"/>
                <w:sz w:val="24"/>
                <w:lang w:val="en-US" w:eastAsia="zh-CN"/>
              </w:rPr>
            </w:pPr>
            <w:r>
              <w:rPr>
                <w:rFonts w:hint="eastAsia" w:ascii="楷体_GB2312" w:hAnsi="Times New Roman" w:eastAsia="楷体_GB2312" w:cs="Times New Roman"/>
                <w:sz w:val="24"/>
                <w:lang w:val="en-US" w:eastAsia="zh-CN"/>
              </w:rPr>
              <w:t>1</w:t>
            </w:r>
          </w:p>
        </w:tc>
        <w:tc>
          <w:tcPr>
            <w:tcW w:w="1858" w:type="pct"/>
            <w:noWrap w:val="0"/>
            <w:vAlign w:val="center"/>
          </w:tcPr>
          <w:p w14:paraId="36CEDF63">
            <w:pPr>
              <w:snapToGrid w:val="0"/>
              <w:jc w:val="center"/>
              <w:rPr>
                <w:rFonts w:hint="eastAsia" w:ascii="楷体_GB2312" w:hAnsi="Times New Roman" w:eastAsia="楷体_GB2312" w:cs="Times New Roman"/>
                <w:sz w:val="24"/>
                <w:lang w:val="en-US" w:eastAsia="zh-CN"/>
              </w:rPr>
            </w:pPr>
            <w:r>
              <w:rPr>
                <w:rFonts w:hint="eastAsia" w:ascii="楷体_GB2312" w:hAnsi="Times New Roman" w:eastAsia="楷体_GB2312" w:cs="Times New Roman"/>
                <w:sz w:val="24"/>
                <w:lang w:val="en-US" w:eastAsia="zh-CN"/>
              </w:rPr>
              <w:t>广州医科大学附属第三医院</w:t>
            </w:r>
          </w:p>
          <w:p w14:paraId="228AC0C0">
            <w:pPr>
              <w:snapToGrid w:val="0"/>
              <w:jc w:val="center"/>
              <w:rPr>
                <w:rFonts w:hint="eastAsia" w:ascii="楷体_GB2312" w:hAnsi="Times New Roman" w:eastAsia="楷体_GB2312" w:cs="Times New Roman"/>
                <w:sz w:val="24"/>
                <w:lang w:val="en-US" w:eastAsia="zh-CN"/>
              </w:rPr>
            </w:pPr>
            <w:r>
              <w:rPr>
                <w:rFonts w:hint="eastAsia" w:ascii="楷体_GB2312" w:hAnsi="Times New Roman" w:eastAsia="楷体_GB2312" w:cs="Times New Roman"/>
                <w:sz w:val="24"/>
                <w:lang w:val="en-US" w:eastAsia="zh-CN"/>
              </w:rPr>
              <w:t>两株木棉支撑服务项目报价表</w:t>
            </w:r>
          </w:p>
        </w:tc>
        <w:tc>
          <w:tcPr>
            <w:tcW w:w="921" w:type="pct"/>
            <w:noWrap w:val="0"/>
            <w:vAlign w:val="center"/>
          </w:tcPr>
          <w:p w14:paraId="37CEBA57">
            <w:pPr>
              <w:snapToGrid w:val="0"/>
              <w:jc w:val="center"/>
              <w:rPr>
                <w:rFonts w:hint="eastAsia" w:ascii="楷体_GB2312" w:hAnsi="Times New Roman" w:eastAsia="楷体_GB2312" w:cs="Times New Roman"/>
                <w:sz w:val="24"/>
                <w:lang w:val="en-US" w:eastAsia="zh-CN"/>
              </w:rPr>
            </w:pPr>
            <w:r>
              <w:rPr>
                <w:rFonts w:hint="eastAsia" w:ascii="楷体_GB2312" w:hAnsi="Times New Roman" w:eastAsia="楷体_GB2312" w:cs="Times New Roman"/>
                <w:sz w:val="24"/>
                <w:lang w:val="en-US" w:eastAsia="zh-CN"/>
              </w:rPr>
              <w:t>详见采购需求</w:t>
            </w:r>
          </w:p>
        </w:tc>
        <w:tc>
          <w:tcPr>
            <w:tcW w:w="921" w:type="pct"/>
            <w:noWrap w:val="0"/>
            <w:vAlign w:val="center"/>
          </w:tcPr>
          <w:p w14:paraId="42BBA4B5">
            <w:pPr>
              <w:snapToGrid w:val="0"/>
              <w:jc w:val="center"/>
              <w:rPr>
                <w:rFonts w:hint="eastAsia" w:ascii="楷体_GB2312" w:hAnsi="Times New Roman" w:eastAsia="楷体_GB2312" w:cs="Times New Roman"/>
                <w:sz w:val="24"/>
                <w:lang w:val="en-US" w:eastAsia="zh-CN"/>
              </w:rPr>
            </w:pPr>
            <w:r>
              <w:rPr>
                <w:rFonts w:hint="eastAsia" w:ascii="楷体_GB2312" w:hAnsi="Times New Roman" w:eastAsia="楷体_GB2312" w:cs="Times New Roman"/>
                <w:sz w:val="24"/>
                <w:lang w:val="en-US" w:eastAsia="zh-CN"/>
              </w:rPr>
              <w:t>详见采购需求</w:t>
            </w:r>
          </w:p>
        </w:tc>
        <w:tc>
          <w:tcPr>
            <w:tcW w:w="386" w:type="pct"/>
            <w:noWrap w:val="0"/>
            <w:vAlign w:val="center"/>
          </w:tcPr>
          <w:p w14:paraId="42DE9C89">
            <w:pPr>
              <w:snapToGrid w:val="0"/>
              <w:jc w:val="center"/>
              <w:rPr>
                <w:rFonts w:hint="eastAsia" w:ascii="楷体_GB2312" w:hAnsi="Times New Roman" w:eastAsia="楷体_GB2312" w:cs="Times New Roman"/>
                <w:sz w:val="24"/>
              </w:rPr>
            </w:pPr>
            <w:r>
              <w:rPr>
                <w:rFonts w:hint="eastAsia" w:ascii="楷体_GB2312" w:hAnsi="Times New Roman" w:eastAsia="楷体_GB2312" w:cs="Times New Roman"/>
                <w:sz w:val="24"/>
                <w:lang w:val="en-US" w:eastAsia="zh-CN"/>
              </w:rPr>
              <w:t>1项</w:t>
            </w:r>
          </w:p>
        </w:tc>
        <w:tc>
          <w:tcPr>
            <w:tcW w:w="658" w:type="pct"/>
            <w:noWrap w:val="0"/>
            <w:vAlign w:val="center"/>
          </w:tcPr>
          <w:p w14:paraId="1F504CF4">
            <w:pPr>
              <w:snapToGrid w:val="0"/>
              <w:jc w:val="center"/>
              <w:rPr>
                <w:rFonts w:hint="default" w:ascii="楷体_GB2312" w:hAnsi="Times New Roman" w:eastAsia="楷体_GB2312" w:cs="Times New Roman"/>
                <w:sz w:val="24"/>
                <w:lang w:val="en-US" w:eastAsia="zh-CN"/>
              </w:rPr>
            </w:pPr>
            <w:r>
              <w:rPr>
                <w:rFonts w:hint="eastAsia" w:ascii="楷体_GB2312" w:hAnsi="Times New Roman" w:eastAsia="楷体_GB2312" w:cs="Times New Roman"/>
                <w:sz w:val="24"/>
                <w:lang w:val="en-US" w:eastAsia="zh-CN"/>
              </w:rPr>
              <w:t>66000</w:t>
            </w:r>
          </w:p>
        </w:tc>
      </w:tr>
      <w:tr w14:paraId="66A8C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6"/>
            <w:noWrap w:val="0"/>
            <w:vAlign w:val="center"/>
          </w:tcPr>
          <w:p w14:paraId="729BD70E">
            <w:pPr>
              <w:snapToGrid w:val="0"/>
              <w:rPr>
                <w:rFonts w:hint="eastAsia" w:ascii="楷体_GB2312" w:eastAsia="楷体_GB2312"/>
                <w:sz w:val="24"/>
                <w:lang w:val="en-US" w:eastAsia="zh-CN"/>
              </w:rPr>
            </w:pPr>
          </w:p>
          <w:p w14:paraId="3A2AE584">
            <w:pPr>
              <w:snapToGrid w:val="0"/>
              <w:rPr>
                <w:rFonts w:hint="default" w:ascii="楷体_GB2312" w:eastAsia="楷体_GB2312"/>
                <w:sz w:val="24"/>
                <w:lang w:val="en-US" w:eastAsia="zh-CN"/>
              </w:rPr>
            </w:pPr>
            <w:r>
              <w:rPr>
                <w:rFonts w:hint="eastAsia" w:ascii="楷体_GB2312" w:eastAsia="楷体_GB2312"/>
                <w:sz w:val="24"/>
                <w:lang w:val="en-US" w:eastAsia="zh-CN"/>
              </w:rPr>
              <w:t>项目总报价</w:t>
            </w:r>
            <w:r>
              <w:rPr>
                <w:rFonts w:hint="eastAsia" w:ascii="楷体_GB2312" w:eastAsia="楷体_GB2312"/>
                <w:sz w:val="24"/>
              </w:rPr>
              <w:t>人民币（大写）：</w:t>
            </w:r>
            <w:r>
              <w:rPr>
                <w:rFonts w:hint="eastAsia" w:ascii="楷体_GB2312" w:eastAsia="楷体_GB2312"/>
                <w:sz w:val="24"/>
                <w:lang w:val="en-US" w:eastAsia="zh-CN"/>
              </w:rPr>
              <w:t xml:space="preserve">                              </w:t>
            </w:r>
            <w:r>
              <w:rPr>
                <w:rFonts w:hint="eastAsia" w:ascii="楷体_GB2312" w:eastAsia="楷体_GB2312"/>
                <w:sz w:val="24"/>
              </w:rPr>
              <w:t>（小写）：</w:t>
            </w:r>
          </w:p>
          <w:p w14:paraId="158F5C21">
            <w:pPr>
              <w:snapToGrid w:val="0"/>
              <w:rPr>
                <w:rFonts w:hint="eastAsia" w:ascii="楷体_GB2312" w:hAnsi="Times New Roman" w:eastAsia="楷体_GB2312" w:cs="Times New Roman"/>
                <w:sz w:val="24"/>
                <w:lang w:val="en-US" w:eastAsia="zh-CN"/>
              </w:rPr>
            </w:pPr>
            <w:r>
              <w:rPr>
                <w:rFonts w:hint="eastAsia" w:ascii="楷体_GB2312" w:hAnsi="Times New Roman" w:eastAsia="楷体_GB2312" w:cs="Times New Roman"/>
                <w:sz w:val="24"/>
                <w:lang w:val="en-US" w:eastAsia="zh-CN"/>
              </w:rPr>
              <w:t>其中税费</w:t>
            </w:r>
            <w:r>
              <w:rPr>
                <w:rFonts w:hint="eastAsia" w:ascii="楷体_GB2312" w:hAnsi="Times New Roman" w:eastAsia="楷体_GB2312" w:cs="Times New Roman"/>
                <w:sz w:val="24"/>
                <w:u w:val="single"/>
                <w:lang w:val="en-US" w:eastAsia="zh-CN"/>
              </w:rPr>
              <w:t xml:space="preserve">       </w:t>
            </w:r>
            <w:r>
              <w:rPr>
                <w:rFonts w:hint="eastAsia" w:ascii="楷体_GB2312" w:hAnsi="Times New Roman" w:eastAsia="楷体_GB2312" w:cs="Times New Roman"/>
                <w:sz w:val="24"/>
                <w:lang w:val="en-US" w:eastAsia="zh-CN"/>
              </w:rPr>
              <w:t>元，不含税金额为</w:t>
            </w:r>
            <w:r>
              <w:rPr>
                <w:rFonts w:hint="eastAsia" w:ascii="楷体_GB2312" w:hAnsi="Times New Roman" w:eastAsia="楷体_GB2312" w:cs="Times New Roman"/>
                <w:sz w:val="24"/>
                <w:u w:val="single"/>
                <w:lang w:val="en-US" w:eastAsia="zh-CN"/>
              </w:rPr>
              <w:t xml:space="preserve">         </w:t>
            </w:r>
            <w:r>
              <w:rPr>
                <w:rFonts w:hint="eastAsia" w:ascii="楷体_GB2312" w:hAnsi="Times New Roman" w:eastAsia="楷体_GB2312" w:cs="Times New Roman"/>
                <w:sz w:val="24"/>
                <w:lang w:val="en-US" w:eastAsia="zh-CN"/>
              </w:rPr>
              <w:t>元。</w:t>
            </w:r>
          </w:p>
          <w:p w14:paraId="3A1B3F41">
            <w:pPr>
              <w:snapToGrid w:val="0"/>
              <w:rPr>
                <w:rFonts w:hint="eastAsia" w:ascii="楷体_GB2312" w:hAnsi="Times New Roman" w:eastAsia="楷体_GB2312" w:cs="Times New Roman"/>
                <w:sz w:val="24"/>
                <w:lang w:val="en-US" w:eastAsia="zh-CN"/>
              </w:rPr>
            </w:pPr>
          </w:p>
        </w:tc>
      </w:tr>
    </w:tbl>
    <w:p w14:paraId="23349784">
      <w:pPr>
        <w:numPr>
          <w:ilvl w:val="0"/>
          <w:numId w:val="0"/>
        </w:numPr>
        <w:rPr>
          <w:rFonts w:hint="eastAsia" w:ascii="楷体_GB2312" w:eastAsia="楷体_GB2312"/>
          <w:sz w:val="24"/>
        </w:rPr>
      </w:pPr>
      <w:r>
        <w:rPr>
          <w:rFonts w:hint="eastAsia" w:ascii="楷体_GB2312" w:eastAsia="楷体_GB2312"/>
          <w:sz w:val="24"/>
        </w:rPr>
        <w:t xml:space="preserve">                     </w:t>
      </w:r>
    </w:p>
    <w:p w14:paraId="449B8335">
      <w:pPr>
        <w:rPr>
          <w:rFonts w:hint="eastAsia" w:ascii="楷体_GB2312" w:eastAsia="楷体_GB2312"/>
          <w:b w:val="0"/>
          <w:bCs/>
          <w:sz w:val="24"/>
          <w:lang w:val="en-US" w:eastAsia="zh-CN"/>
        </w:rPr>
      </w:pPr>
      <w:r>
        <w:rPr>
          <w:rFonts w:hint="eastAsia" w:ascii="楷体_GB2312" w:eastAsia="楷体_GB2312"/>
          <w:b w:val="0"/>
          <w:bCs/>
          <w:sz w:val="24"/>
          <w:lang w:val="en-US" w:eastAsia="zh-CN"/>
        </w:rPr>
        <w:t>备注：报价包括了设计、制造、项目实施及运至服务地点地的仓储费、包装、运输费、送货费、售后、人员工资、原材料价格市场波动等引起的费用及保修期内的各种税费等所有费用，采购人不再另行支付其他任何费用。</w:t>
      </w:r>
    </w:p>
    <w:p w14:paraId="566FB716">
      <w:pPr>
        <w:rPr>
          <w:rFonts w:hint="eastAsia" w:ascii="楷体_GB2312" w:eastAsia="楷体_GB2312"/>
          <w:b w:val="0"/>
          <w:bCs/>
          <w:sz w:val="24"/>
          <w:lang w:val="en-US" w:eastAsia="zh-CN"/>
        </w:rPr>
      </w:pPr>
    </w:p>
    <w:p w14:paraId="5E1B3387">
      <w:pPr>
        <w:numPr>
          <w:ilvl w:val="0"/>
          <w:numId w:val="3"/>
        </w:numPr>
        <w:ind w:left="0" w:leftChars="0" w:firstLine="0" w:firstLineChars="0"/>
        <w:jc w:val="left"/>
        <w:rPr>
          <w:rFonts w:hint="eastAsia" w:ascii="楷体_GB2312" w:eastAsia="楷体_GB2312"/>
          <w:sz w:val="24"/>
        </w:rPr>
      </w:pPr>
      <w:r>
        <w:rPr>
          <w:rFonts w:hint="eastAsia" w:ascii="楷体_GB2312" w:eastAsia="楷体_GB2312"/>
          <w:b/>
          <w:sz w:val="24"/>
          <w:lang w:val="en-US" w:eastAsia="zh-CN"/>
        </w:rPr>
        <w:t>服务</w:t>
      </w:r>
      <w:r>
        <w:rPr>
          <w:rFonts w:hint="eastAsia" w:ascii="楷体_GB2312" w:eastAsia="楷体_GB2312"/>
          <w:b/>
          <w:sz w:val="24"/>
        </w:rPr>
        <w:t>时间：</w:t>
      </w:r>
      <w:r>
        <w:rPr>
          <w:rFonts w:hint="eastAsia" w:ascii="楷体_GB2312" w:eastAsia="楷体_GB2312"/>
          <w:sz w:val="24"/>
          <w:u w:val="single"/>
        </w:rPr>
        <w:t xml:space="preserve">  根据</w:t>
      </w:r>
      <w:r>
        <w:rPr>
          <w:rFonts w:hint="eastAsia" w:ascii="楷体_GB2312" w:eastAsia="楷体_GB2312"/>
          <w:sz w:val="24"/>
          <w:u w:val="single"/>
          <w:lang w:val="en-US" w:eastAsia="zh-CN"/>
        </w:rPr>
        <w:t>采购人</w:t>
      </w:r>
      <w:r>
        <w:rPr>
          <w:rFonts w:hint="eastAsia" w:ascii="楷体_GB2312" w:eastAsia="楷体_GB2312"/>
          <w:sz w:val="24"/>
          <w:u w:val="single"/>
        </w:rPr>
        <w:t>约定时间</w:t>
      </w:r>
      <w:r>
        <w:rPr>
          <w:rFonts w:hint="eastAsia" w:ascii="楷体_GB2312" w:eastAsia="楷体_GB2312"/>
          <w:sz w:val="24"/>
          <w:u w:val="single"/>
          <w:lang w:val="en-US" w:eastAsia="zh-CN"/>
        </w:rPr>
        <w:t xml:space="preserve">   </w:t>
      </w:r>
      <w:r>
        <w:rPr>
          <w:rFonts w:hint="eastAsia" w:ascii="楷体_GB2312" w:eastAsia="楷体_GB2312"/>
          <w:sz w:val="24"/>
          <w:u w:val="single"/>
        </w:rPr>
        <w:t xml:space="preserve"> </w:t>
      </w:r>
      <w:r>
        <w:rPr>
          <w:rFonts w:hint="eastAsia" w:ascii="楷体_GB2312" w:eastAsia="楷体_GB2312"/>
          <w:sz w:val="24"/>
        </w:rPr>
        <w:t>。</w:t>
      </w:r>
      <w:r>
        <w:rPr>
          <w:rFonts w:hint="eastAsia" w:ascii="楷体_GB2312" w:eastAsia="楷体_GB2312"/>
          <w:b/>
          <w:bCs/>
          <w:sz w:val="24"/>
          <w:lang w:val="en-US" w:eastAsia="zh-CN"/>
        </w:rPr>
        <w:t>服务</w:t>
      </w:r>
      <w:r>
        <w:rPr>
          <w:rFonts w:hint="eastAsia" w:ascii="楷体_GB2312" w:eastAsia="楷体_GB2312"/>
          <w:b/>
          <w:bCs/>
          <w:sz w:val="24"/>
        </w:rPr>
        <w:t>地点</w:t>
      </w:r>
      <w:r>
        <w:rPr>
          <w:rFonts w:hint="eastAsia" w:ascii="楷体_GB2312" w:eastAsia="楷体_GB2312"/>
          <w:b/>
          <w:sz w:val="24"/>
        </w:rPr>
        <w:t>：</w:t>
      </w:r>
      <w:r>
        <w:rPr>
          <w:rFonts w:hint="eastAsia" w:ascii="楷体_GB2312" w:hAnsi="Times New Roman" w:eastAsia="楷体_GB2312" w:cs="Times New Roman"/>
          <w:sz w:val="24"/>
          <w:u w:val="single"/>
        </w:rPr>
        <w:t xml:space="preserve"> </w:t>
      </w:r>
      <w:r>
        <w:rPr>
          <w:rFonts w:hint="eastAsia" w:ascii="楷体_GB2312" w:hAnsi="Times New Roman" w:eastAsia="楷体_GB2312" w:cs="Times New Roman"/>
          <w:sz w:val="24"/>
          <w:u w:val="single"/>
          <w:lang w:val="en-US" w:eastAsia="zh-CN"/>
        </w:rPr>
        <w:t>采购人指定地点</w:t>
      </w:r>
      <w:r>
        <w:rPr>
          <w:rFonts w:hint="eastAsia" w:ascii="楷体_GB2312" w:hAnsi="Times New Roman" w:eastAsia="楷体_GB2312" w:cs="Times New Roman"/>
          <w:sz w:val="24"/>
          <w:u w:val="single"/>
        </w:rPr>
        <w:t xml:space="preserve">      </w:t>
      </w:r>
      <w:r>
        <w:rPr>
          <w:rFonts w:hint="eastAsia" w:ascii="楷体_GB2312" w:eastAsia="楷体_GB2312"/>
          <w:sz w:val="24"/>
          <w:u w:val="single"/>
        </w:rPr>
        <w:t xml:space="preserve">   </w:t>
      </w:r>
      <w:r>
        <w:rPr>
          <w:rFonts w:hint="eastAsia" w:ascii="楷体_GB2312" w:eastAsia="楷体_GB2312"/>
          <w:sz w:val="24"/>
        </w:rPr>
        <w:t>。</w:t>
      </w:r>
    </w:p>
    <w:p w14:paraId="2AB871E7">
      <w:pPr>
        <w:jc w:val="left"/>
        <w:rPr>
          <w:rFonts w:hint="eastAsia" w:ascii="楷体_GB2312" w:eastAsia="楷体_GB2312"/>
          <w:sz w:val="24"/>
        </w:rPr>
      </w:pPr>
    </w:p>
    <w:p w14:paraId="4F370626">
      <w:pPr>
        <w:snapToGrid/>
        <w:spacing w:afterAutospacing="0"/>
        <w:jc w:val="left"/>
        <w:rPr>
          <w:rFonts w:hint="eastAsia" w:ascii="楷体_GB2312" w:eastAsia="楷体_GB2312"/>
          <w:sz w:val="24"/>
          <w:u w:val="single"/>
          <w:lang w:val="en-US" w:eastAsia="zh-CN"/>
        </w:rPr>
      </w:pPr>
      <w:r>
        <w:rPr>
          <w:rFonts w:hint="eastAsia" w:ascii="楷体_GB2312" w:eastAsia="楷体_GB2312"/>
          <w:b/>
          <w:sz w:val="24"/>
        </w:rPr>
        <w:t>三、</w:t>
      </w:r>
      <w:r>
        <w:rPr>
          <w:rFonts w:hint="eastAsia" w:ascii="楷体_GB2312" w:eastAsia="楷体_GB2312"/>
          <w:b/>
          <w:sz w:val="24"/>
          <w:lang w:val="en-US" w:eastAsia="zh-CN"/>
        </w:rPr>
        <w:t>服务</w:t>
      </w:r>
      <w:r>
        <w:rPr>
          <w:rFonts w:hint="eastAsia" w:ascii="楷体_GB2312" w:eastAsia="楷体_GB2312"/>
          <w:b/>
          <w:sz w:val="24"/>
        </w:rPr>
        <w:t>保证承诺：</w:t>
      </w:r>
      <w:r>
        <w:rPr>
          <w:rFonts w:hint="eastAsia" w:ascii="楷体_GB2312" w:eastAsia="楷体_GB2312"/>
          <w:sz w:val="24"/>
          <w:u w:val="single"/>
          <w:lang w:val="en-US" w:eastAsia="zh-CN"/>
        </w:rPr>
        <w:t>质保期1年，</w:t>
      </w:r>
      <w:r>
        <w:rPr>
          <w:rFonts w:hint="eastAsia" w:ascii="楷体_GB2312" w:eastAsia="楷体_GB2312"/>
          <w:sz w:val="24"/>
          <w:u w:val="single"/>
        </w:rPr>
        <w:t xml:space="preserve">         </w:t>
      </w:r>
      <w:r>
        <w:rPr>
          <w:rFonts w:hint="eastAsia" w:ascii="楷体_GB2312" w:eastAsia="楷体_GB2312"/>
          <w:sz w:val="24"/>
          <w:u w:val="single"/>
          <w:lang w:val="en-US" w:eastAsia="zh-CN"/>
        </w:rPr>
        <w:t xml:space="preserve">                                      </w:t>
      </w:r>
    </w:p>
    <w:p w14:paraId="16A4E97C">
      <w:pPr>
        <w:snapToGrid/>
        <w:spacing w:afterAutospacing="0"/>
        <w:jc w:val="left"/>
        <w:rPr>
          <w:rFonts w:hint="eastAsia" w:ascii="楷体_GB2312" w:eastAsia="楷体_GB2312"/>
          <w:sz w:val="24"/>
          <w:u w:val="single"/>
          <w:lang w:val="en-US" w:eastAsia="zh-CN"/>
        </w:rPr>
      </w:pPr>
    </w:p>
    <w:p w14:paraId="6097D8E0">
      <w:pPr>
        <w:snapToGrid/>
        <w:spacing w:afterAutospacing="0"/>
        <w:jc w:val="left"/>
        <w:rPr>
          <w:rFonts w:hint="default" w:ascii="楷体_GB2312" w:eastAsia="楷体_GB2312"/>
          <w:sz w:val="24"/>
          <w:u w:val="single"/>
          <w:lang w:val="en-US" w:eastAsia="zh-CN"/>
        </w:rPr>
      </w:pPr>
      <w:r>
        <w:rPr>
          <w:rFonts w:hint="eastAsia" w:ascii="楷体_GB2312" w:eastAsia="楷体_GB2312"/>
          <w:sz w:val="24"/>
          <w:u w:val="single"/>
          <w:lang w:val="en-US" w:eastAsia="zh-CN"/>
        </w:rPr>
        <w:t xml:space="preserve">                                            。</w:t>
      </w:r>
    </w:p>
    <w:p w14:paraId="703FA634">
      <w:pPr>
        <w:rPr>
          <w:rFonts w:hint="eastAsia" w:ascii="楷体_GB2312" w:eastAsia="楷体_GB2312"/>
          <w:sz w:val="24"/>
        </w:rPr>
      </w:pPr>
    </w:p>
    <w:p w14:paraId="3B462B71">
      <w:pPr>
        <w:rPr>
          <w:rFonts w:hint="eastAsia" w:ascii="楷体_GB2312" w:hAnsi="Times New Roman" w:eastAsia="楷体_GB2312" w:cs="Times New Roman"/>
          <w:sz w:val="24"/>
        </w:rPr>
      </w:pPr>
      <w:r>
        <w:rPr>
          <w:rFonts w:hint="eastAsia" w:ascii="楷体_GB2312" w:eastAsia="楷体_GB2312"/>
          <w:sz w:val="24"/>
        </w:rPr>
        <w:t xml:space="preserve">投标人名称（盖章）：            </w:t>
      </w:r>
      <w:r>
        <w:rPr>
          <w:rFonts w:hint="eastAsia" w:ascii="楷体_GB2312" w:eastAsia="楷体_GB2312"/>
          <w:sz w:val="24"/>
          <w:lang w:val="en-US" w:eastAsia="zh-CN"/>
        </w:rPr>
        <w:t xml:space="preserve">   </w:t>
      </w:r>
      <w:r>
        <w:rPr>
          <w:rFonts w:hint="eastAsia" w:ascii="楷体_GB2312" w:hAnsi="Times New Roman" w:eastAsia="楷体_GB2312" w:cs="Times New Roman"/>
          <w:sz w:val="24"/>
          <w:lang w:eastAsia="zh-CN"/>
        </w:rPr>
        <w:t>单位法人或</w:t>
      </w:r>
      <w:r>
        <w:rPr>
          <w:rFonts w:hint="eastAsia" w:ascii="楷体_GB2312" w:hAnsi="Times New Roman" w:eastAsia="楷体_GB2312" w:cs="Times New Roman"/>
          <w:sz w:val="24"/>
        </w:rPr>
        <w:t>授权代表（签字）：</w:t>
      </w:r>
    </w:p>
    <w:p w14:paraId="279949F1">
      <w:pPr>
        <w:rPr>
          <w:rFonts w:hint="eastAsia" w:ascii="楷体_GB2312" w:eastAsia="楷体_GB2312"/>
          <w:sz w:val="24"/>
        </w:rPr>
      </w:pPr>
      <w:r>
        <w:rPr>
          <w:rFonts w:hint="eastAsia" w:ascii="楷体_GB2312" w:eastAsia="楷体_GB2312"/>
          <w:sz w:val="24"/>
        </w:rPr>
        <w:t>投标人地址：           办公电话：</w:t>
      </w:r>
      <w:r>
        <w:rPr>
          <w:rFonts w:hint="eastAsia" w:ascii="楷体_GB2312" w:eastAsia="楷体_GB2312"/>
          <w:sz w:val="24"/>
          <w:lang w:val="en-US" w:eastAsia="zh-CN"/>
        </w:rPr>
        <w:t xml:space="preserve">      </w:t>
      </w:r>
      <w:r>
        <w:rPr>
          <w:rFonts w:hint="eastAsia" w:ascii="楷体_GB2312" w:eastAsia="楷体_GB2312"/>
          <w:sz w:val="24"/>
        </w:rPr>
        <w:t xml:space="preserve">     手机：</w:t>
      </w:r>
    </w:p>
    <w:p w14:paraId="1F2509D8">
      <w:pPr>
        <w:ind w:right="480"/>
        <w:jc w:val="center"/>
        <w:rPr>
          <w:rFonts w:hint="eastAsia" w:ascii="宋体" w:hAnsi="宋体" w:eastAsia="宋体" w:cs="宋体"/>
          <w:b/>
          <w:bCs/>
          <w:i w:val="0"/>
          <w:iCs w:val="0"/>
          <w:sz w:val="32"/>
          <w:szCs w:val="32"/>
          <w:lang w:val="en-US" w:eastAsia="zh-CN" w:bidi="ar-SA"/>
        </w:rPr>
      </w:pPr>
      <w:r>
        <w:rPr>
          <w:rFonts w:hint="eastAsia" w:ascii="楷体_GB2312" w:eastAsia="楷体_GB2312"/>
          <w:sz w:val="24"/>
        </w:rPr>
        <w:t xml:space="preserve">                             报价时间：    年   月  日</w:t>
      </w:r>
    </w:p>
    <w:p w14:paraId="29575909">
      <w:pPr>
        <w:pStyle w:val="2"/>
        <w:numPr>
          <w:numId w:val="0"/>
        </w:numPr>
        <w:ind w:leftChars="0"/>
        <w:jc w:val="both"/>
      </w:pPr>
    </w:p>
    <w:sectPr>
      <w:footerReference r:id="rId3" w:type="default"/>
      <w:pgSz w:w="11906" w:h="16838"/>
      <w:pgMar w:top="2098" w:right="1587" w:bottom="1984" w:left="1474"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1821B7D-8DA2-4822-B1B9-EFD88A79FF8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B35EF542-DBBF-4FC3-8135-D9A67F4740E8}"/>
  </w:font>
  <w:font w:name="方正公文小标宋">
    <w:panose1 w:val="02000500000000000000"/>
    <w:charset w:val="86"/>
    <w:family w:val="auto"/>
    <w:pitch w:val="default"/>
    <w:sig w:usb0="A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embedRegular r:id="rId3" w:fontKey="{36C7BC7D-2344-45AC-8034-B9D74D539FE0}"/>
  </w:font>
  <w:font w:name="仿宋">
    <w:panose1 w:val="02010609060101010101"/>
    <w:charset w:val="86"/>
    <w:family w:val="modern"/>
    <w:pitch w:val="default"/>
    <w:sig w:usb0="800002BF" w:usb1="38CF7CFA" w:usb2="00000016" w:usb3="00000000" w:csb0="00040001" w:csb1="00000000"/>
    <w:embedRegular r:id="rId4" w:fontKey="{EE23FF93-A1C2-4E1C-84EC-7FE1D567BFD0}"/>
  </w:font>
  <w:font w:name="MS Gothic">
    <w:panose1 w:val="020B0609070205080204"/>
    <w:charset w:val="80"/>
    <w:family w:val="modern"/>
    <w:pitch w:val="default"/>
    <w:sig w:usb0="E00002FF" w:usb1="6AC7FDFB" w:usb2="08000012" w:usb3="00000000" w:csb0="4002009F" w:csb1="DFD70000"/>
    <w:embedRegular r:id="rId5" w:fontKey="{AEDDE60B-50C1-4503-B665-9A3DC739C1E4}"/>
  </w:font>
  <w:font w:name="WPSEMBED1">
    <w:panose1 w:val="02010609030101010101"/>
    <w:charset w:val="86"/>
    <w:family w:val="auto"/>
    <w:pitch w:val="default"/>
    <w:sig w:usb0="00000001" w:usb1="080E0000" w:usb2="00000000" w:usb3="00000000" w:csb0="00040000" w:csb1="00000000"/>
  </w:font>
  <w:font w:name="隶书">
    <w:panose1 w:val="02010509060101010101"/>
    <w:charset w:val="86"/>
    <w:family w:val="modern"/>
    <w:pitch w:val="default"/>
    <w:sig w:usb0="00000001" w:usb1="080E0000" w:usb2="00000000" w:usb3="00000000" w:csb0="00040000" w:csb1="00000000"/>
    <w:embedRegular r:id="rId6" w:fontKey="{B2FD055A-D96C-4829-A9DB-3C6214EC52A5}"/>
  </w:font>
  <w:font w:name="楷体_GB2312">
    <w:altName w:val="楷体"/>
    <w:panose1 w:val="02010609030101010101"/>
    <w:charset w:val="86"/>
    <w:family w:val="modern"/>
    <w:pitch w:val="default"/>
    <w:sig w:usb0="00000000" w:usb1="00000000" w:usb2="00000000" w:usb3="00000000" w:csb0="00040000" w:csb1="00000000"/>
    <w:embedRegular r:id="rId7" w:fontKey="{EEA4469B-C780-40A4-9601-C97EDF6BE318}"/>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B00FCE">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E903D4">
                          <w:pPr>
                            <w:pStyle w:val="5"/>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35E903D4">
                    <w:pPr>
                      <w:pStyle w:val="5"/>
                    </w:pPr>
                    <w:r>
                      <w:fldChar w:fldCharType="begin"/>
                    </w:r>
                    <w:r>
                      <w:instrText xml:space="preserve"> PAGE  \* MERGEFORMAT </w:instrText>
                    </w:r>
                    <w:r>
                      <w:fldChar w:fldCharType="separate"/>
                    </w:r>
                    <w:r>
                      <w:t>6</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67F4E7"/>
    <w:multiLevelType w:val="singleLevel"/>
    <w:tmpl w:val="8F67F4E7"/>
    <w:lvl w:ilvl="0" w:tentative="0">
      <w:start w:val="1"/>
      <w:numFmt w:val="decimalEnclosedCircleChinese"/>
      <w:suff w:val="nothing"/>
      <w:lvlText w:val="%1、"/>
      <w:lvlJc w:val="left"/>
      <w:rPr>
        <w:rFonts w:hint="eastAsia"/>
      </w:rPr>
    </w:lvl>
  </w:abstractNum>
  <w:abstractNum w:abstractNumId="1">
    <w:nsid w:val="B8C79785"/>
    <w:multiLevelType w:val="singleLevel"/>
    <w:tmpl w:val="B8C79785"/>
    <w:lvl w:ilvl="0" w:tentative="0">
      <w:start w:val="1"/>
      <w:numFmt w:val="chineseCounting"/>
      <w:suff w:val="nothing"/>
      <w:lvlText w:val="%1、"/>
      <w:lvlJc w:val="left"/>
      <w:rPr>
        <w:rFonts w:hint="eastAsia"/>
      </w:rPr>
    </w:lvl>
  </w:abstractNum>
  <w:abstractNum w:abstractNumId="2">
    <w:nsid w:val="4DAB6CD7"/>
    <w:multiLevelType w:val="multilevel"/>
    <w:tmpl w:val="4DAB6CD7"/>
    <w:lvl w:ilvl="0" w:tentative="0">
      <w:start w:val="1"/>
      <w:numFmt w:val="chineseCounting"/>
      <w:pStyle w:val="2"/>
      <w:suff w:val="nothing"/>
      <w:lvlText w:val="第%1章 "/>
      <w:lvlJc w:val="left"/>
      <w:pPr>
        <w:ind w:left="5682" w:hanging="432"/>
      </w:pPr>
      <w:rPr>
        <w:rFonts w:hint="eastAsia"/>
      </w:rPr>
    </w:lvl>
    <w:lvl w:ilvl="1" w:tentative="0">
      <w:start w:val="1"/>
      <w:numFmt w:val="decimal"/>
      <w:isLgl/>
      <w:lvlText w:val="%1.%2."/>
      <w:lvlJc w:val="left"/>
      <w:pPr>
        <w:ind w:left="575" w:hanging="575"/>
      </w:pPr>
      <w:rPr>
        <w:rFonts w:hint="eastAsia"/>
      </w:rPr>
    </w:lvl>
    <w:lvl w:ilvl="2" w:tentative="0">
      <w:start w:val="1"/>
      <w:numFmt w:val="decimal"/>
      <w:isLgl/>
      <w:lvlText w:val="%1.%2.%3."/>
      <w:lvlJc w:val="left"/>
      <w:pPr>
        <w:ind w:left="720" w:hanging="720"/>
      </w:pPr>
      <w:rPr>
        <w:rFonts w:hint="eastAsia"/>
      </w:rPr>
    </w:lvl>
    <w:lvl w:ilvl="3" w:tentative="0">
      <w:start w:val="1"/>
      <w:numFmt w:val="decimal"/>
      <w:isLgl/>
      <w:lvlText w:val="%1.%2.%3.%4."/>
      <w:lvlJc w:val="left"/>
      <w:pPr>
        <w:ind w:left="864" w:hanging="864"/>
      </w:pPr>
      <w:rPr>
        <w:rFonts w:hint="eastAsia"/>
      </w:rPr>
    </w:lvl>
    <w:lvl w:ilvl="4" w:tentative="0">
      <w:start w:val="1"/>
      <w:numFmt w:val="decimal"/>
      <w:isLgl/>
      <w:lvlText w:val="%1.%2.%3.%4.%5."/>
      <w:lvlJc w:val="left"/>
      <w:pPr>
        <w:ind w:left="1008" w:hanging="1008"/>
      </w:pPr>
      <w:rPr>
        <w:rFonts w:hint="eastAsia"/>
      </w:rPr>
    </w:lvl>
    <w:lvl w:ilvl="5" w:tentative="0">
      <w:start w:val="1"/>
      <w:numFmt w:val="decimal"/>
      <w:isLgl/>
      <w:lvlText w:val="%1.%2.%3.%4.%5.%6."/>
      <w:lvlJc w:val="left"/>
      <w:pPr>
        <w:ind w:left="1151" w:hanging="1151"/>
      </w:pPr>
      <w:rPr>
        <w:rFonts w:hint="eastAsia"/>
      </w:rPr>
    </w:lvl>
    <w:lvl w:ilvl="6" w:tentative="0">
      <w:start w:val="1"/>
      <w:numFmt w:val="decimal"/>
      <w:isLgl/>
      <w:lvlText w:val="%1.%2.%3.%4.%5.%6.%7."/>
      <w:lvlJc w:val="left"/>
      <w:pPr>
        <w:ind w:left="1296" w:hanging="1296"/>
      </w:pPr>
      <w:rPr>
        <w:rFonts w:hint="eastAsia"/>
      </w:rPr>
    </w:lvl>
    <w:lvl w:ilvl="7" w:tentative="0">
      <w:start w:val="1"/>
      <w:numFmt w:val="decimal"/>
      <w:isLgl/>
      <w:lvlText w:val="%1.%2.%3.%4.%5.%6.%7.%8."/>
      <w:lvlJc w:val="left"/>
      <w:pPr>
        <w:ind w:left="1440" w:hanging="1440"/>
      </w:pPr>
      <w:rPr>
        <w:rFonts w:hint="eastAsia"/>
      </w:rPr>
    </w:lvl>
    <w:lvl w:ilvl="8" w:tentative="0">
      <w:start w:val="1"/>
      <w:numFmt w:val="decimal"/>
      <w:isLgl/>
      <w:lvlText w:val="%1.%2.%3.%4.%5.%6.%7.%8.%9."/>
      <w:lvlJc w:val="left"/>
      <w:pPr>
        <w:ind w:left="1583" w:hanging="1583"/>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JiMzA3NzlhYzJkMzY1NTA5MjU2ZmU0OWUxZGIwNjEifQ=="/>
    <w:docVar w:name="KSO_WPS_MARK_KEY" w:val="287616d7-3148-46c8-96b2-038ad26acada"/>
  </w:docVars>
  <w:rsids>
    <w:rsidRoot w:val="28B05A49"/>
    <w:rsid w:val="00074D59"/>
    <w:rsid w:val="00106344"/>
    <w:rsid w:val="00274096"/>
    <w:rsid w:val="00341F21"/>
    <w:rsid w:val="003532B8"/>
    <w:rsid w:val="00375446"/>
    <w:rsid w:val="00481D6E"/>
    <w:rsid w:val="0064686A"/>
    <w:rsid w:val="007079CB"/>
    <w:rsid w:val="00810954"/>
    <w:rsid w:val="008A6C83"/>
    <w:rsid w:val="008D72D4"/>
    <w:rsid w:val="00B37D9C"/>
    <w:rsid w:val="00BD2EA9"/>
    <w:rsid w:val="00D05211"/>
    <w:rsid w:val="00D90A46"/>
    <w:rsid w:val="00EA25CE"/>
    <w:rsid w:val="00FD43DC"/>
    <w:rsid w:val="0D9D29B0"/>
    <w:rsid w:val="24DA3AA7"/>
    <w:rsid w:val="25B50621"/>
    <w:rsid w:val="28B05A49"/>
    <w:rsid w:val="34A60AE7"/>
    <w:rsid w:val="37513637"/>
    <w:rsid w:val="375D3725"/>
    <w:rsid w:val="3E0B3481"/>
    <w:rsid w:val="48583F89"/>
    <w:rsid w:val="4CDB3BA6"/>
    <w:rsid w:val="4D685156"/>
    <w:rsid w:val="665D0220"/>
    <w:rsid w:val="6A1E62A8"/>
    <w:rsid w:val="6BF10A27"/>
    <w:rsid w:val="6EA007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tabs>
        <w:tab w:val="left" w:pos="0"/>
      </w:tabs>
      <w:spacing w:before="340" w:after="330" w:line="578" w:lineRule="auto"/>
      <w:ind w:left="432"/>
      <w:jc w:val="center"/>
      <w:outlineLvl w:val="0"/>
    </w:pPr>
    <w:rPr>
      <w:rFonts w:ascii="黑体" w:hAnsi="黑体" w:eastAsia="黑体"/>
      <w:b/>
      <w:kern w:val="44"/>
      <w:sz w:val="36"/>
      <w:szCs w:val="44"/>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uiPriority w:val="0"/>
    <w:pPr>
      <w:jc w:val="left"/>
    </w:pPr>
  </w:style>
  <w:style w:type="paragraph" w:styleId="4">
    <w:name w:val="Balloon Text"/>
    <w:basedOn w:val="1"/>
    <w:link w:val="14"/>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10">
    <w:name w:val="Strong"/>
    <w:basedOn w:val="9"/>
    <w:qFormat/>
    <w:uiPriority w:val="22"/>
    <w:rPr>
      <w:b/>
    </w:rPr>
  </w:style>
  <w:style w:type="character" w:styleId="11">
    <w:name w:val="annotation reference"/>
    <w:basedOn w:val="9"/>
    <w:qFormat/>
    <w:uiPriority w:val="0"/>
    <w:rPr>
      <w:sz w:val="21"/>
      <w:szCs w:val="21"/>
    </w:rPr>
  </w:style>
  <w:style w:type="paragraph" w:customStyle="1" w:styleId="12">
    <w:name w:val="WPSOffice手动目录 1"/>
    <w:qFormat/>
    <w:uiPriority w:val="0"/>
    <w:rPr>
      <w:rFonts w:asciiTheme="minorHAnsi" w:hAnsiTheme="minorHAnsi" w:eastAsiaTheme="minorEastAsia" w:cstheme="minorBidi"/>
      <w:lang w:val="en-US" w:eastAsia="zh-CN" w:bidi="ar-SA"/>
    </w:rPr>
  </w:style>
  <w:style w:type="paragraph" w:customStyle="1" w:styleId="13">
    <w:name w:val="WPSOffice手动目录 2"/>
    <w:qFormat/>
    <w:uiPriority w:val="0"/>
    <w:pPr>
      <w:ind w:left="200" w:leftChars="200"/>
    </w:pPr>
    <w:rPr>
      <w:rFonts w:asciiTheme="minorHAnsi" w:hAnsiTheme="minorHAnsi" w:eastAsiaTheme="minorEastAsia" w:cstheme="minorBidi"/>
      <w:lang w:val="en-US" w:eastAsia="zh-CN" w:bidi="ar-SA"/>
    </w:rPr>
  </w:style>
  <w:style w:type="character" w:customStyle="1" w:styleId="14">
    <w:name w:val="批注框文本 Char"/>
    <w:basedOn w:val="9"/>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1928</Words>
  <Characters>2050</Characters>
  <Lines>15</Lines>
  <Paragraphs>4</Paragraphs>
  <TotalTime>262</TotalTime>
  <ScaleCrop>false</ScaleCrop>
  <LinksUpToDate>false</LinksUpToDate>
  <CharactersWithSpaces>2081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2024-05-22T09:02:00Z</dcterms:created>
  <dc:creator>黎承坤</dc:creator>
  <cp:lastModifiedBy>asdodo</cp:lastModifiedBy>
  <dcterms:modified xsi:type="dcterms:W3CDTF">2026-04-13T07:56:46Z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B224A564E9BE4B0E905E23BC46A93E31_13</vt:lpwstr>
  </property>
  <property fmtid="{D5CDD505-2E9C-101B-9397-08002B2CF9AE}" pid="4" name="KSOTemplateDocerSaveRecord">
    <vt:lpwstr>eyJoZGlkIjoiYzI4ZWUyMjQ4OWExMWFhOTNlMmFkZWIzZTQwOTMzYjkiLCJ1c2VySWQiOiI1NTMzNDUwNDQifQ==</vt:lpwstr>
  </property>
</Properties>
</file>