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0E304">
      <w:pPr>
        <w:spacing w:before="312"/>
        <w:ind w:firstLine="562"/>
        <w:rPr>
          <w:b/>
          <w:bCs/>
          <w:sz w:val="28"/>
          <w:szCs w:val="28"/>
        </w:rPr>
      </w:pPr>
      <w:r>
        <w:rPr>
          <w:rFonts w:hint="eastAsia"/>
          <w:b/>
          <w:bCs/>
          <w:sz w:val="28"/>
          <w:szCs w:val="28"/>
        </w:rPr>
        <w:t>关于我院“两院区</w:t>
      </w:r>
      <w:r>
        <w:rPr>
          <w:rFonts w:hint="eastAsia"/>
          <w:b/>
          <w:bCs/>
          <w:sz w:val="28"/>
          <w:szCs w:val="28"/>
          <w:lang w:val="en-US" w:eastAsia="zh-CN"/>
        </w:rPr>
        <w:t>终端零信任安全</w:t>
      </w:r>
      <w:r>
        <w:rPr>
          <w:rFonts w:hint="eastAsia"/>
          <w:b/>
          <w:bCs/>
          <w:sz w:val="28"/>
          <w:szCs w:val="28"/>
        </w:rPr>
        <w:t>采购项目”的公告</w:t>
      </w:r>
    </w:p>
    <w:p w14:paraId="3F81B698">
      <w:pPr>
        <w:numPr>
          <w:ilvl w:val="0"/>
          <w:numId w:val="2"/>
        </w:numPr>
        <w:spacing w:before="312"/>
        <w:ind w:firstLine="480"/>
      </w:pPr>
      <w:r>
        <w:rPr>
          <w:rFonts w:hint="eastAsia"/>
        </w:rPr>
        <w:t>项目简介</w:t>
      </w:r>
    </w:p>
    <w:p w14:paraId="6E46AA26">
      <w:pPr>
        <w:spacing w:before="312"/>
        <w:ind w:firstLine="480"/>
      </w:pPr>
      <w:r>
        <w:rPr>
          <w:rFonts w:hint="eastAsia"/>
        </w:rPr>
        <w:t>根据《中华人民共和国网络安全法》、《中华人民共和国数据安全法》、《中华人民共和国个人信息保护法》、《关键信息基础设施安全保护条例》（中华人民共和国国务院令第745号）对信息安全等级保护以及数据安全的有关要求，广州医科大学附属第三医院启动两院区网络安全保障服务项目，重点推进零信任架构建设、终端安全防护体系完善及云桌面系统部署。当前医院已按等保2.0三级要求完成基础安全设备采购与框架搭建，现需通过专业服务实现安全能力升级。</w:t>
      </w:r>
    </w:p>
    <w:p w14:paraId="27FA7834">
      <w:pPr>
        <w:spacing w:before="312"/>
        <w:ind w:firstLine="480"/>
      </w:pPr>
      <w:r>
        <w:rPr>
          <w:rFonts w:hint="eastAsia"/>
        </w:rPr>
        <w:t>本次项目核心目标：</w:t>
      </w:r>
    </w:p>
    <w:p w14:paraId="4EE23B3B">
      <w:pPr>
        <w:spacing w:before="312"/>
        <w:ind w:firstLine="480"/>
      </w:pPr>
      <w:r>
        <w:rPr>
          <w:rFonts w:hint="eastAsia"/>
        </w:rPr>
        <w:t>以零信任架构为核心，构建"永不信任、持续验证"的安全体系，通过多因子认证、动态权限管控及软件定义边界技术实现跨院区、跨终端的精细化访问控制。在此框架下，终端安全防护作为基础功能模块，部署终端统一管理平台，集成病毒防护、外设管控、行为审计等能力，为持续验证提供数据支撑；云桌面系统则作为零信任架构的重要应用模块，采用高可用性架构与同态加密技术，在保障数据全生命周期安全的同时，实现跨院区终端无缝接入，形成</w:t>
      </w:r>
      <w:r>
        <w:rPr>
          <w:rFonts w:hint="eastAsia"/>
          <w:lang w:eastAsia="zh-CN"/>
        </w:rPr>
        <w:t>“</w:t>
      </w:r>
      <w:r>
        <w:rPr>
          <w:rFonts w:hint="eastAsia"/>
        </w:rPr>
        <w:t>身份验证-终端管控-应用访问</w:t>
      </w:r>
      <w:r>
        <w:rPr>
          <w:rFonts w:hint="eastAsia"/>
          <w:lang w:eastAsia="zh-CN"/>
        </w:rPr>
        <w:t>”</w:t>
      </w:r>
      <w:r>
        <w:rPr>
          <w:rFonts w:hint="eastAsia"/>
        </w:rPr>
        <w:t>三位一体的零信任闭环体系，全面提升跨网络环境下的安全访问能力。</w:t>
      </w:r>
    </w:p>
    <w:p w14:paraId="30353F33">
      <w:pPr>
        <w:numPr>
          <w:ilvl w:val="0"/>
          <w:numId w:val="2"/>
        </w:numPr>
        <w:spacing w:before="312"/>
        <w:ind w:firstLine="480"/>
      </w:pPr>
      <w:r>
        <w:rPr>
          <w:rFonts w:hint="eastAsia"/>
        </w:rPr>
        <w:t>线上征集</w:t>
      </w:r>
    </w:p>
    <w:p w14:paraId="05C64CFD">
      <w:pPr>
        <w:spacing w:before="312"/>
        <w:ind w:firstLine="480"/>
      </w:pPr>
      <w:r>
        <w:rPr>
          <w:rFonts w:hint="eastAsia"/>
        </w:rPr>
        <w:t>（</w:t>
      </w:r>
      <w:r>
        <w:t>一）公告发出之日起到2025年</w:t>
      </w:r>
      <w:r>
        <w:rPr>
          <w:rFonts w:hint="eastAsia"/>
          <w:lang w:val="en-US" w:eastAsia="zh-CN"/>
        </w:rPr>
        <w:t>11</w:t>
      </w:r>
      <w:r>
        <w:t>月</w:t>
      </w:r>
      <w:r>
        <w:rPr>
          <w:rFonts w:hint="eastAsia"/>
          <w:lang w:val="en-US" w:eastAsia="zh-CN"/>
        </w:rPr>
        <w:t>28</w:t>
      </w:r>
      <w:r>
        <w:t>日（星期</w:t>
      </w:r>
      <w:r>
        <w:rPr>
          <w:rFonts w:hint="eastAsia"/>
          <w:lang w:val="en-US" w:eastAsia="zh-CN"/>
        </w:rPr>
        <w:t>五</w:t>
      </w:r>
      <w:r>
        <w:t>）17:00时前截止</w:t>
      </w:r>
    </w:p>
    <w:p w14:paraId="23844800">
      <w:pPr>
        <w:spacing w:before="312"/>
        <w:ind w:firstLine="480"/>
      </w:pPr>
      <w:r>
        <w:rPr>
          <w:rFonts w:hint="eastAsia"/>
        </w:rPr>
        <w:t>（二）方式：请有意向参与的供应商将加盖公章后的详细建设方案、报价资料、公司简介、营业执照扫描件、企业规模声明函、法人授权书、被授权人姓名、手机号码以及报价文件（详见附件2）等资料扫描成电子版（PDF格式）及可编辑版（word格式）（以“项目名称+单位名称+联系人+联系电话”为邮件主题以及文件名称）发送至以下电子邮箱进行线上报名：</w:t>
      </w:r>
    </w:p>
    <w:p w14:paraId="24CAE36C">
      <w:pPr>
        <w:spacing w:before="312"/>
        <w:ind w:firstLine="480"/>
      </w:pPr>
      <w:r>
        <w:rPr>
          <w:rFonts w:hint="eastAsia"/>
        </w:rPr>
        <w:t>657449773@qq.com、240234387@qq.com（抄送），供应商须在线上报名截止时间前将上述材料电子版发至指定邮箱，否则视作不参与本项目市场价格调查。</w:t>
      </w:r>
    </w:p>
    <w:p w14:paraId="16835B49">
      <w:pPr>
        <w:spacing w:before="312"/>
        <w:ind w:firstLine="480"/>
      </w:pPr>
      <w:r>
        <w:rPr>
          <w:rFonts w:hint="eastAsia"/>
        </w:rPr>
        <w:t>（三）联系人：杨工（需求答疑）；联系电话：020-81292166</w:t>
      </w:r>
    </w:p>
    <w:p w14:paraId="4851CA13">
      <w:pPr>
        <w:numPr>
          <w:ilvl w:val="0"/>
          <w:numId w:val="2"/>
        </w:numPr>
        <w:spacing w:before="312"/>
        <w:ind w:firstLine="480"/>
      </w:pPr>
      <w:r>
        <w:rPr>
          <w:rFonts w:hint="eastAsia"/>
        </w:rPr>
        <w:t>报价范围定义</w:t>
      </w:r>
    </w:p>
    <w:p w14:paraId="04C20A7B">
      <w:pPr>
        <w:spacing w:before="312"/>
        <w:ind w:firstLine="480"/>
      </w:pPr>
      <w:r>
        <w:t>本项目报价包含但不限于人工费、管理费用、成交服务费、相关用具的使用费用、各项税费及合同实施过程中不可预见费等完成本招标内容所需的一切费用，要求有限期为一年。</w:t>
      </w:r>
    </w:p>
    <w:p w14:paraId="2318C06A">
      <w:pPr>
        <w:spacing w:before="312"/>
        <w:ind w:firstLine="480"/>
      </w:pPr>
      <w:r>
        <w:br w:type="page"/>
      </w:r>
    </w:p>
    <w:p w14:paraId="697AB092">
      <w:pPr>
        <w:spacing w:before="312"/>
        <w:rPr>
          <w:rFonts w:hint="eastAsia" w:eastAsia="宋体"/>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1B14C"/>
    <w:multiLevelType w:val="multilevel"/>
    <w:tmpl w:val="A491B14C"/>
    <w:lvl w:ilvl="0" w:tentative="0">
      <w:start w:val="1"/>
      <w:numFmt w:val="chineseCountingThousand"/>
      <w:pStyle w:val="2"/>
      <w:lvlText w:val="%1、"/>
      <w:lvlJc w:val="left"/>
      <w:pPr>
        <w:ind w:left="420" w:hanging="420"/>
      </w:pPr>
      <w:rPr>
        <w:rFonts w:hint="eastAsia"/>
      </w:rPr>
    </w:lvl>
    <w:lvl w:ilvl="1" w:tentative="0">
      <w:start w:val="1"/>
      <w:numFmt w:val="decimal"/>
      <w:pStyle w:val="3"/>
      <w:isLgl/>
      <w:suff w:val="space"/>
      <w:lvlText w:val="%1.%2"/>
      <w:lvlJc w:val="left"/>
      <w:pPr>
        <w:ind w:left="0" w:firstLine="0"/>
      </w:pPr>
      <w:rPr>
        <w:rFonts w:hint="eastAsia"/>
      </w:rPr>
    </w:lvl>
    <w:lvl w:ilvl="2" w:tentative="0">
      <w:start w:val="1"/>
      <w:numFmt w:val="decimal"/>
      <w:pStyle w:val="4"/>
      <w:isLgl/>
      <w:suff w:val="space"/>
      <w:lvlText w:val="%1.%2.%3"/>
      <w:lvlJc w:val="left"/>
      <w:pPr>
        <w:ind w:left="0" w:firstLine="0"/>
      </w:pPr>
      <w:rPr>
        <w:rFonts w:hint="eastAsia"/>
      </w:rPr>
    </w:lvl>
    <w:lvl w:ilvl="3" w:tentative="0">
      <w:start w:val="1"/>
      <w:numFmt w:val="decimal"/>
      <w:pStyle w:val="5"/>
      <w:isLgl/>
      <w:suff w:val="space"/>
      <w:lvlText w:val="%1.%2.%3.%4"/>
      <w:lvlJc w:val="left"/>
      <w:pPr>
        <w:ind w:left="709" w:firstLine="0"/>
      </w:pPr>
      <w:rPr>
        <w:rFonts w:hint="eastAsia"/>
      </w:rPr>
    </w:lvl>
    <w:lvl w:ilvl="4" w:tentative="0">
      <w:start w:val="1"/>
      <w:numFmt w:val="decimal"/>
      <w:pStyle w:val="6"/>
      <w:isLgl/>
      <w:suff w:val="space"/>
      <w:lvlText w:val="%1.%2.%3.%4.%5"/>
      <w:lvlJc w:val="left"/>
      <w:pPr>
        <w:ind w:left="0" w:firstLine="0"/>
      </w:pPr>
      <w:rPr>
        <w:rFonts w:hint="eastAsia"/>
      </w:rPr>
    </w:lvl>
    <w:lvl w:ilvl="5" w:tentative="0">
      <w:start w:val="1"/>
      <w:numFmt w:val="decimal"/>
      <w:pStyle w:val="7"/>
      <w:isLgl/>
      <w:suff w:val="space"/>
      <w:lvlText w:val="%1.%2.%3.%4.%5.%6"/>
      <w:lvlJc w:val="left"/>
      <w:pPr>
        <w:ind w:left="0" w:firstLine="0"/>
      </w:pPr>
      <w:rPr>
        <w:rFonts w:hint="eastAsia"/>
      </w:rPr>
    </w:lvl>
    <w:lvl w:ilvl="6" w:tentative="0">
      <w:start w:val="1"/>
      <w:numFmt w:val="decimal"/>
      <w:pStyle w:val="8"/>
      <w:isLgl/>
      <w:suff w:val="space"/>
      <w:lvlText w:val="%1.%2.%3.%4.%5.%6.%7"/>
      <w:lvlJc w:val="left"/>
      <w:pPr>
        <w:ind w:left="0" w:firstLine="0"/>
      </w:pPr>
      <w:rPr>
        <w:rFonts w:hint="eastAsia"/>
      </w:rPr>
    </w:lvl>
    <w:lvl w:ilvl="7" w:tentative="0">
      <w:start w:val="1"/>
      <w:numFmt w:val="decimal"/>
      <w:pStyle w:val="9"/>
      <w:isLgl/>
      <w:suff w:val="space"/>
      <w:lvlText w:val="%1.%2.%3.%4.%5.%6.%7.%8"/>
      <w:lvlJc w:val="left"/>
      <w:pPr>
        <w:ind w:left="0" w:firstLine="0"/>
      </w:pPr>
      <w:rPr>
        <w:rFonts w:hint="eastAsia"/>
      </w:rPr>
    </w:lvl>
    <w:lvl w:ilvl="8" w:tentative="0">
      <w:start w:val="1"/>
      <w:numFmt w:val="decimal"/>
      <w:pStyle w:val="10"/>
      <w:isLgl/>
      <w:suff w:val="space"/>
      <w:lvlText w:val="%1.%2.%3.%4.%5.%6.%7.%8.%9"/>
      <w:lvlJc w:val="left"/>
      <w:pPr>
        <w:ind w:left="0" w:firstLine="0"/>
      </w:pPr>
      <w:rPr>
        <w:rFonts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abstractNum>
  <w:abstractNum w:abstractNumId="1">
    <w:nsid w:val="E134F7BC"/>
    <w:multiLevelType w:val="singleLevel"/>
    <w:tmpl w:val="E134F7B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E14"/>
    <w:rsid w:val="002D7E14"/>
    <w:rsid w:val="00A809C5"/>
    <w:rsid w:val="00B67DDF"/>
    <w:rsid w:val="00F83690"/>
    <w:rsid w:val="010158D6"/>
    <w:rsid w:val="017130ED"/>
    <w:rsid w:val="02A86130"/>
    <w:rsid w:val="02FC3065"/>
    <w:rsid w:val="04463D2B"/>
    <w:rsid w:val="05235E1B"/>
    <w:rsid w:val="06102881"/>
    <w:rsid w:val="06182533"/>
    <w:rsid w:val="064A387B"/>
    <w:rsid w:val="06652463"/>
    <w:rsid w:val="08AC25CB"/>
    <w:rsid w:val="08B66FA6"/>
    <w:rsid w:val="0BC1638D"/>
    <w:rsid w:val="0D397BE7"/>
    <w:rsid w:val="0E230C39"/>
    <w:rsid w:val="0E6D0107"/>
    <w:rsid w:val="0E931631"/>
    <w:rsid w:val="0FBF0E36"/>
    <w:rsid w:val="100B7BD7"/>
    <w:rsid w:val="10593038"/>
    <w:rsid w:val="10CB7B22"/>
    <w:rsid w:val="110465EA"/>
    <w:rsid w:val="13F54E26"/>
    <w:rsid w:val="1582093B"/>
    <w:rsid w:val="19C71013"/>
    <w:rsid w:val="19FF1C7C"/>
    <w:rsid w:val="1B3E0BF3"/>
    <w:rsid w:val="1B750E0A"/>
    <w:rsid w:val="1C7B60E4"/>
    <w:rsid w:val="1F63358C"/>
    <w:rsid w:val="208539D6"/>
    <w:rsid w:val="26B02E2F"/>
    <w:rsid w:val="27334D4B"/>
    <w:rsid w:val="29AF561F"/>
    <w:rsid w:val="2A297180"/>
    <w:rsid w:val="2A663F30"/>
    <w:rsid w:val="2AED46A6"/>
    <w:rsid w:val="2BF33EE9"/>
    <w:rsid w:val="2E597A23"/>
    <w:rsid w:val="2EA50F32"/>
    <w:rsid w:val="31E3055C"/>
    <w:rsid w:val="31F91B2E"/>
    <w:rsid w:val="32D54D2B"/>
    <w:rsid w:val="339C6E3C"/>
    <w:rsid w:val="33D75E9F"/>
    <w:rsid w:val="369E2DBA"/>
    <w:rsid w:val="38D445C9"/>
    <w:rsid w:val="397564EC"/>
    <w:rsid w:val="3BB05953"/>
    <w:rsid w:val="3BBD2429"/>
    <w:rsid w:val="3CAD59EE"/>
    <w:rsid w:val="4012098A"/>
    <w:rsid w:val="41322966"/>
    <w:rsid w:val="41F1637D"/>
    <w:rsid w:val="4214206C"/>
    <w:rsid w:val="44F92119"/>
    <w:rsid w:val="45592BB7"/>
    <w:rsid w:val="47A619B8"/>
    <w:rsid w:val="4889106A"/>
    <w:rsid w:val="492928A1"/>
    <w:rsid w:val="49E36EF3"/>
    <w:rsid w:val="4A3E237C"/>
    <w:rsid w:val="4B90055C"/>
    <w:rsid w:val="4BF929FE"/>
    <w:rsid w:val="5059420E"/>
    <w:rsid w:val="52E635B0"/>
    <w:rsid w:val="53566988"/>
    <w:rsid w:val="5588218A"/>
    <w:rsid w:val="565F7902"/>
    <w:rsid w:val="58BD6B62"/>
    <w:rsid w:val="5A1E3076"/>
    <w:rsid w:val="5AA1673B"/>
    <w:rsid w:val="606C1599"/>
    <w:rsid w:val="60AF3AB0"/>
    <w:rsid w:val="62DC79D8"/>
    <w:rsid w:val="632048BD"/>
    <w:rsid w:val="634B4489"/>
    <w:rsid w:val="63670700"/>
    <w:rsid w:val="637D3334"/>
    <w:rsid w:val="63C83926"/>
    <w:rsid w:val="66DB2FD4"/>
    <w:rsid w:val="679C6C08"/>
    <w:rsid w:val="690F179C"/>
    <w:rsid w:val="694766FF"/>
    <w:rsid w:val="6B5F4B0A"/>
    <w:rsid w:val="6C3513D9"/>
    <w:rsid w:val="704F058F"/>
    <w:rsid w:val="708F77E4"/>
    <w:rsid w:val="70E17439"/>
    <w:rsid w:val="70F23802"/>
    <w:rsid w:val="71614A1E"/>
    <w:rsid w:val="73097C3B"/>
    <w:rsid w:val="73AA445A"/>
    <w:rsid w:val="7477671E"/>
    <w:rsid w:val="74956EB9"/>
    <w:rsid w:val="75735471"/>
    <w:rsid w:val="76C021E7"/>
    <w:rsid w:val="774D3A7A"/>
    <w:rsid w:val="78411105"/>
    <w:rsid w:val="78BE2756"/>
    <w:rsid w:val="795B1D53"/>
    <w:rsid w:val="7A664E53"/>
    <w:rsid w:val="7AF91823"/>
    <w:rsid w:val="7C920181"/>
    <w:rsid w:val="7CE85FF3"/>
    <w:rsid w:val="7D641B1E"/>
    <w:rsid w:val="7D6E02A7"/>
    <w:rsid w:val="7DA97531"/>
    <w:rsid w:val="7EFC2D63"/>
    <w:rsid w:val="7F385010"/>
    <w:rsid w:val="7F776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Lines="100" w:line="360" w:lineRule="auto"/>
      <w:ind w:firstLine="880" w:firstLineChars="200"/>
      <w:jc w:val="both"/>
    </w:pPr>
    <w:rPr>
      <w:rFonts w:eastAsia="宋体" w:asciiTheme="minorHAnsi" w:hAnsiTheme="minorHAnsi" w:cstheme="minorBidi"/>
      <w:kern w:val="2"/>
      <w:sz w:val="24"/>
      <w:szCs w:val="24"/>
      <w:lang w:val="en-US" w:eastAsia="zh-CN" w:bidi="ar-SA"/>
    </w:rPr>
  </w:style>
  <w:style w:type="paragraph" w:styleId="2">
    <w:name w:val="heading 1"/>
    <w:basedOn w:val="1"/>
    <w:next w:val="1"/>
    <w:qFormat/>
    <w:uiPriority w:val="0"/>
    <w:pPr>
      <w:keepNext/>
      <w:keepLines/>
      <w:numPr>
        <w:ilvl w:val="0"/>
        <w:numId w:val="1"/>
      </w:numPr>
      <w:spacing w:before="340" w:beforeLines="0" w:after="330" w:line="576" w:lineRule="auto"/>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260" w:beforeLines="0" w:after="26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after="290" w:line="372" w:lineRule="auto"/>
      <w:outlineLvl w:val="3"/>
    </w:pPr>
    <w:rPr>
      <w:rFonts w:ascii="Arial" w:hAnsi="Arial" w:eastAsia="黑体"/>
      <w:b/>
      <w:sz w:val="28"/>
    </w:rPr>
  </w:style>
  <w:style w:type="paragraph" w:styleId="6">
    <w:name w:val="heading 5"/>
    <w:next w:val="1"/>
    <w:link w:val="18"/>
    <w:semiHidden/>
    <w:unhideWhenUsed/>
    <w:qFormat/>
    <w:uiPriority w:val="0"/>
    <w:pPr>
      <w:keepNext/>
      <w:keepLines/>
      <w:numPr>
        <w:ilvl w:val="4"/>
        <w:numId w:val="1"/>
      </w:numPr>
      <w:spacing w:before="280" w:after="290" w:line="377" w:lineRule="auto"/>
      <w:outlineLvl w:val="4"/>
    </w:pPr>
    <w:rPr>
      <w:rFonts w:ascii="Times New Roman" w:hAnsi="Times New Roman" w:eastAsiaTheme="minorEastAsia" w:cstheme="minorBidi"/>
      <w:b/>
      <w:bCs/>
      <w:kern w:val="2"/>
      <w:sz w:val="28"/>
      <w:szCs w:val="28"/>
      <w:lang w:val="en-US" w:eastAsia="zh-CN" w:bidi="ar-SA"/>
    </w:rPr>
  </w:style>
  <w:style w:type="paragraph" w:styleId="7">
    <w:name w:val="heading 6"/>
    <w:basedOn w:val="1"/>
    <w:next w:val="1"/>
    <w:semiHidden/>
    <w:unhideWhenUsed/>
    <w:qFormat/>
    <w:uiPriority w:val="0"/>
    <w:pPr>
      <w:keepNext/>
      <w:keepLines/>
      <w:numPr>
        <w:ilvl w:val="5"/>
        <w:numId w:val="1"/>
      </w:numPr>
      <w:spacing w:before="240" w:beforeLines="0" w:after="64" w:line="317" w:lineRule="auto"/>
      <w:outlineLvl w:val="5"/>
    </w:pPr>
    <w:rPr>
      <w:rFonts w:ascii="Arial" w:hAnsi="Arial" w:eastAsia="黑体"/>
      <w:b/>
    </w:rPr>
  </w:style>
  <w:style w:type="paragraph" w:styleId="8">
    <w:name w:val="heading 7"/>
    <w:basedOn w:val="1"/>
    <w:next w:val="1"/>
    <w:semiHidden/>
    <w:unhideWhenUsed/>
    <w:qFormat/>
    <w:uiPriority w:val="0"/>
    <w:pPr>
      <w:keepNext/>
      <w:keepLines/>
      <w:numPr>
        <w:ilvl w:val="6"/>
        <w:numId w:val="1"/>
      </w:numPr>
      <w:spacing w:before="240" w:beforeLines="0" w:after="64" w:line="317" w:lineRule="auto"/>
      <w:outlineLvl w:val="6"/>
    </w:pPr>
    <w:rPr>
      <w:b/>
    </w:rPr>
  </w:style>
  <w:style w:type="paragraph" w:styleId="9">
    <w:name w:val="heading 8"/>
    <w:basedOn w:val="1"/>
    <w:next w:val="1"/>
    <w:autoRedefine/>
    <w:semiHidden/>
    <w:unhideWhenUsed/>
    <w:qFormat/>
    <w:uiPriority w:val="0"/>
    <w:pPr>
      <w:keepNext/>
      <w:keepLines/>
      <w:numPr>
        <w:ilvl w:val="7"/>
        <w:numId w:val="1"/>
      </w:numPr>
      <w:spacing w:before="240" w:beforeLines="0" w:after="64" w:line="317" w:lineRule="auto"/>
      <w:outlineLvl w:val="7"/>
    </w:pPr>
    <w:rPr>
      <w:rFonts w:ascii="Arial" w:hAnsi="Arial" w:eastAsia="黑体"/>
    </w:rPr>
  </w:style>
  <w:style w:type="paragraph" w:styleId="10">
    <w:name w:val="heading 9"/>
    <w:basedOn w:val="1"/>
    <w:next w:val="1"/>
    <w:autoRedefine/>
    <w:semiHidden/>
    <w:unhideWhenUsed/>
    <w:qFormat/>
    <w:uiPriority w:val="0"/>
    <w:pPr>
      <w:keepNext/>
      <w:keepLines/>
      <w:numPr>
        <w:ilvl w:val="8"/>
        <w:numId w:val="1"/>
      </w:numPr>
      <w:spacing w:before="240" w:beforeLines="0" w:after="64" w:line="317" w:lineRule="auto"/>
      <w:outlineLvl w:val="8"/>
    </w:pPr>
    <w:rPr>
      <w:rFonts w:ascii="Arial" w:hAnsi="Arial" w:eastAsia="黑体"/>
      <w:sz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1">
    <w:name w:val="Normal (Web)"/>
    <w:basedOn w:val="1"/>
    <w:qFormat/>
    <w:uiPriority w:val="0"/>
    <w:pPr>
      <w:spacing w:before="0" w:beforeAutospacing="1" w:afterAutospacing="1"/>
      <w:jc w:val="left"/>
    </w:pPr>
    <w:rPr>
      <w:rFonts w:cs="Times New Roman"/>
      <w:kern w:val="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paragraph" w:customStyle="1" w:styleId="16">
    <w:name w:val="样式1"/>
    <w:basedOn w:val="1"/>
    <w:autoRedefine/>
    <w:qFormat/>
    <w:uiPriority w:val="0"/>
    <w:pPr>
      <w:spacing w:line="400" w:lineRule="exact"/>
      <w:ind w:firstLine="420"/>
    </w:pPr>
    <w:rPr>
      <w:rFonts w:hint="eastAsia" w:ascii="方正仿宋_GB2312" w:hAnsi="方正仿宋_GB2312" w:eastAsia="方正仿宋_GB2312" w:cs="方正仿宋_GB2312"/>
    </w:rPr>
  </w:style>
  <w:style w:type="paragraph" w:customStyle="1" w:styleId="17">
    <w:name w:val="宋体正文"/>
    <w:basedOn w:val="1"/>
    <w:qFormat/>
    <w:uiPriority w:val="0"/>
    <w:rPr>
      <w:rFonts w:eastAsiaTheme="minorEastAsia"/>
    </w:rPr>
  </w:style>
  <w:style w:type="character" w:customStyle="1" w:styleId="18">
    <w:name w:val="标题 5 字符"/>
    <w:basedOn w:val="14"/>
    <w:link w:val="6"/>
    <w:autoRedefine/>
    <w:qFormat/>
    <w:uiPriority w:val="0"/>
    <w:rPr>
      <w:rFonts w:ascii="Times New Roman" w:hAnsi="Times New Roman" w:eastAsiaTheme="minorEastAsia"/>
      <w:b/>
      <w:bCs/>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3334</Words>
  <Characters>3489</Characters>
  <Lines>26</Lines>
  <Paragraphs>7</Paragraphs>
  <TotalTime>19</TotalTime>
  <ScaleCrop>false</ScaleCrop>
  <LinksUpToDate>false</LinksUpToDate>
  <CharactersWithSpaces>3489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2023-08-29T01:08:00Z</dcterms:created>
  <dc:creator>19114</dc:creator>
  <cp:lastModifiedBy>daikewei_gzhmu</cp:lastModifiedBy>
  <dcterms:modified xsi:type="dcterms:W3CDTF">2025-11-25T08:14:14Z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8955D7097FAA4B638818A322E6420AF2_13</vt:lpwstr>
  </property>
  <property fmtid="{D5CDD505-2E9C-101B-9397-08002B2CF9AE}" pid="4" name="KSOTemplateDocerSaveRecord">
    <vt:lpwstr>eyJoZGlkIjoiOWMwNDYxZGQxYjM3Zjk1NzlmMjU4YmZiZWEzNzdhNGUiLCJ1c2VySWQiOiIyNzcyNDM5MjUifQ==</vt:lpwstr>
  </property>
</Properties>
</file>