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D910C0">
      <w:pPr>
        <w:spacing w:line="360" w:lineRule="auto"/>
        <w:jc w:val="center"/>
        <w:rPr>
          <w:rFonts w:ascii="宋体" w:hAnsi="宋体"/>
          <w:b/>
          <w:color w:val="auto"/>
          <w:sz w:val="32"/>
          <w:szCs w:val="32"/>
        </w:rPr>
      </w:pPr>
      <w:r>
        <w:rPr>
          <w:rFonts w:hint="eastAsia" w:ascii="宋体" w:hAnsi="宋体"/>
          <w:b/>
          <w:color w:val="auto"/>
          <w:sz w:val="32"/>
          <w:szCs w:val="32"/>
        </w:rPr>
        <w:t>广州医科大学附属第三医院</w:t>
      </w:r>
    </w:p>
    <w:p w14:paraId="4764779B">
      <w:pPr>
        <w:spacing w:line="360" w:lineRule="auto"/>
        <w:jc w:val="center"/>
        <w:rPr>
          <w:rFonts w:ascii="宋体" w:hAnsi="宋体"/>
          <w:b/>
          <w:color w:val="auto"/>
          <w:sz w:val="32"/>
          <w:szCs w:val="32"/>
        </w:rPr>
      </w:pPr>
      <w:r>
        <w:rPr>
          <w:rFonts w:hint="eastAsia" w:ascii="宋体" w:hAnsi="宋体"/>
          <w:b/>
          <w:color w:val="auto"/>
          <w:sz w:val="32"/>
          <w:szCs w:val="32"/>
        </w:rPr>
        <w:t>荔湾、黄埔两院区数据库维保服务采购项目</w:t>
      </w:r>
      <w:r>
        <w:rPr>
          <w:rFonts w:ascii="宋体" w:hAnsi="宋体"/>
          <w:b/>
          <w:color w:val="auto"/>
          <w:sz w:val="32"/>
          <w:szCs w:val="32"/>
        </w:rPr>
        <w:t xml:space="preserve"> </w:t>
      </w:r>
    </w:p>
    <w:p w14:paraId="744D57B0">
      <w:pPr>
        <w:pStyle w:val="13"/>
        <w:spacing w:before="156" w:beforeLines="50" w:after="156" w:afterLines="50"/>
        <w:jc w:val="both"/>
        <w:outlineLvl w:val="0"/>
        <w:rPr>
          <w:rFonts w:ascii="宋体" w:hAnsi="宋体" w:eastAsia="宋体"/>
          <w:color w:val="auto"/>
          <w:kern w:val="2"/>
          <w:sz w:val="24"/>
          <w:szCs w:val="24"/>
        </w:rPr>
      </w:pPr>
      <w:bookmarkStart w:id="0" w:name="_Toc337472920"/>
      <w:r>
        <w:rPr>
          <w:rFonts w:hint="eastAsia" w:ascii="宋体" w:hAnsi="宋体" w:eastAsia="宋体"/>
          <w:color w:val="auto"/>
          <w:kern w:val="2"/>
          <w:sz w:val="24"/>
          <w:szCs w:val="24"/>
        </w:rPr>
        <w:t>一、 用户需求书</w:t>
      </w:r>
      <w:bookmarkEnd w:id="0"/>
    </w:p>
    <w:p w14:paraId="3BA0F314">
      <w:pPr>
        <w:widowControl/>
        <w:tabs>
          <w:tab w:val="left" w:pos="530"/>
        </w:tabs>
        <w:snapToGrid w:val="0"/>
        <w:spacing w:line="460" w:lineRule="exact"/>
        <w:jc w:val="left"/>
        <w:rPr>
          <w:rFonts w:ascii="宋体"/>
          <w:color w:val="auto"/>
          <w:szCs w:val="21"/>
        </w:rPr>
      </w:pPr>
      <w:r>
        <w:rPr>
          <w:rFonts w:ascii="宋体"/>
          <w:color w:val="auto"/>
          <w:szCs w:val="21"/>
        </w:rPr>
        <w:tab/>
      </w:r>
      <w:r>
        <w:rPr>
          <w:rFonts w:hint="eastAsia" w:ascii="宋体"/>
          <w:color w:val="auto"/>
          <w:szCs w:val="21"/>
        </w:rPr>
        <w:t>广州医科大学附属第三医院（含荔湾、黄埔院区）计划采购荔湾、黄埔两院区数据库维保服务采购项目，以便更好地整合现有数据库系统资源，提升数据库系统的可靠性、安全性和高效性，对原有的数据库进行运行维护，排除问题，使数据库整体性能优化升级，建成以服务为中心，确保运行安全、信息安全、效率高的数据库系统。通过数据库运行维护为对我院现有的信息系统数据资源进行监控和管理，及时掌握数据库系统资源现状和配置信息，反映数据库系统资源的可用性情况和健康状况，创建一个可知可控的数据库运行环境，从而保证我院信息系统的相关业务应用系统的可靠、高效、持续、安全运行。</w:t>
      </w:r>
    </w:p>
    <w:p w14:paraId="289A0967">
      <w:pPr>
        <w:widowControl/>
        <w:tabs>
          <w:tab w:val="left" w:pos="530"/>
        </w:tabs>
        <w:snapToGrid w:val="0"/>
        <w:spacing w:line="460" w:lineRule="exact"/>
        <w:jc w:val="left"/>
        <w:rPr>
          <w:rFonts w:ascii="宋体"/>
          <w:color w:val="auto"/>
          <w:szCs w:val="21"/>
        </w:rPr>
      </w:pPr>
      <w:r>
        <w:rPr>
          <w:rFonts w:ascii="宋体"/>
          <w:color w:val="auto"/>
          <w:szCs w:val="21"/>
        </w:rPr>
        <w:t></w:t>
      </w:r>
      <w:r>
        <w:rPr>
          <w:rFonts w:ascii="宋体"/>
          <w:color w:val="auto"/>
          <w:szCs w:val="21"/>
        </w:rPr>
        <w:tab/>
      </w:r>
      <w:r>
        <w:rPr>
          <w:rFonts w:hint="eastAsia" w:ascii="宋体"/>
          <w:color w:val="auto"/>
          <w:szCs w:val="21"/>
        </w:rPr>
        <w:t>服务地点：</w:t>
      </w:r>
    </w:p>
    <w:p w14:paraId="386784AB">
      <w:pPr>
        <w:widowControl/>
        <w:tabs>
          <w:tab w:val="left" w:pos="530"/>
        </w:tabs>
        <w:snapToGrid w:val="0"/>
        <w:spacing w:line="460" w:lineRule="exact"/>
        <w:jc w:val="left"/>
        <w:rPr>
          <w:rFonts w:ascii="宋体"/>
          <w:color w:val="auto"/>
          <w:szCs w:val="21"/>
        </w:rPr>
      </w:pPr>
      <w:r>
        <w:rPr>
          <w:rFonts w:hint="eastAsia" w:ascii="宋体"/>
          <w:color w:val="auto"/>
          <w:szCs w:val="21"/>
        </w:rPr>
        <w:t>广州医科大学附属第三医院（荔湾院区）：广州市荔湾区多宝路63号；</w:t>
      </w:r>
    </w:p>
    <w:p w14:paraId="7E6BEE97">
      <w:pPr>
        <w:widowControl/>
        <w:tabs>
          <w:tab w:val="left" w:pos="530"/>
        </w:tabs>
        <w:snapToGrid w:val="0"/>
        <w:spacing w:line="460" w:lineRule="exact"/>
        <w:jc w:val="left"/>
        <w:rPr>
          <w:rFonts w:ascii="宋体"/>
          <w:color w:val="auto"/>
          <w:szCs w:val="21"/>
        </w:rPr>
      </w:pPr>
      <w:r>
        <w:rPr>
          <w:rFonts w:hint="eastAsia" w:ascii="宋体"/>
          <w:color w:val="auto"/>
          <w:szCs w:val="21"/>
        </w:rPr>
        <w:t>广州医科大学附属第三医院（黄埔院区）：广州市黄埔区长贤路55号。</w:t>
      </w:r>
    </w:p>
    <w:p w14:paraId="1A8A6D69">
      <w:pPr>
        <w:rPr>
          <w:color w:val="auto"/>
          <w:szCs w:val="21"/>
        </w:rPr>
      </w:pPr>
    </w:p>
    <w:p w14:paraId="4B941595">
      <w:pPr>
        <w:spacing w:before="156" w:beforeLines="50" w:after="156" w:afterLines="50" w:line="360" w:lineRule="auto"/>
        <w:outlineLvl w:val="0"/>
        <w:rPr>
          <w:rFonts w:ascii="宋体" w:hAnsi="宋体"/>
          <w:b/>
          <w:color w:val="auto"/>
          <w:sz w:val="24"/>
        </w:rPr>
      </w:pPr>
      <w:r>
        <w:rPr>
          <w:rFonts w:hint="eastAsia" w:ascii="宋体" w:hAnsi="宋体"/>
          <w:b/>
          <w:color w:val="auto"/>
          <w:sz w:val="24"/>
          <w:lang w:val="en-US" w:eastAsia="zh-CN"/>
        </w:rPr>
        <w:t>二</w:t>
      </w:r>
      <w:r>
        <w:rPr>
          <w:rFonts w:hint="eastAsia" w:ascii="宋体" w:hAnsi="宋体"/>
          <w:b/>
          <w:color w:val="auto"/>
          <w:sz w:val="24"/>
        </w:rPr>
        <w:t>、项目范围及内容</w:t>
      </w:r>
    </w:p>
    <w:p w14:paraId="0B0CD710">
      <w:pPr>
        <w:spacing w:line="360" w:lineRule="auto"/>
        <w:rPr>
          <w:rFonts w:ascii="宋体" w:hAnsi="宋体"/>
          <w:color w:val="auto"/>
          <w:szCs w:val="21"/>
        </w:rPr>
      </w:pPr>
      <w:r>
        <w:rPr>
          <w:rFonts w:hint="eastAsia" w:ascii="宋体" w:hAnsi="宋体"/>
          <w:color w:val="auto"/>
          <w:szCs w:val="21"/>
        </w:rPr>
        <w:t xml:space="preserve">1. 服务范围 </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97"/>
        <w:gridCol w:w="1953"/>
      </w:tblGrid>
      <w:tr w14:paraId="75C00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97" w:type="dxa"/>
            <w:shd w:val="clear" w:color="auto" w:fill="E7E6E6" w:themeFill="background2"/>
            <w:vAlign w:val="center"/>
          </w:tcPr>
          <w:p w14:paraId="22FD70B2">
            <w:pPr>
              <w:spacing w:line="360" w:lineRule="auto"/>
              <w:jc w:val="center"/>
              <w:rPr>
                <w:rFonts w:ascii="宋体" w:hAnsi="宋体" w:cs="宋体"/>
                <w:b/>
                <w:bCs/>
                <w:color w:val="auto"/>
                <w:szCs w:val="21"/>
              </w:rPr>
            </w:pPr>
            <w:r>
              <w:rPr>
                <w:rFonts w:hint="eastAsia" w:ascii="宋体" w:hAnsi="宋体" w:cs="宋体"/>
                <w:b/>
                <w:bCs/>
                <w:color w:val="auto"/>
                <w:szCs w:val="21"/>
              </w:rPr>
              <w:t>数据库用途</w:t>
            </w:r>
          </w:p>
        </w:tc>
        <w:tc>
          <w:tcPr>
            <w:tcW w:w="1953" w:type="dxa"/>
            <w:shd w:val="clear" w:color="auto" w:fill="E7E6E6" w:themeFill="background2"/>
            <w:vAlign w:val="center"/>
          </w:tcPr>
          <w:p w14:paraId="6FD91322">
            <w:pPr>
              <w:spacing w:line="360" w:lineRule="auto"/>
              <w:jc w:val="center"/>
              <w:rPr>
                <w:rFonts w:ascii="宋体" w:hAnsi="宋体" w:cs="宋体"/>
                <w:b/>
                <w:bCs/>
                <w:color w:val="auto"/>
                <w:szCs w:val="21"/>
              </w:rPr>
            </w:pPr>
            <w:r>
              <w:rPr>
                <w:rFonts w:hint="eastAsia" w:ascii="宋体" w:hAnsi="宋体" w:cs="宋体"/>
                <w:b/>
                <w:bCs/>
                <w:color w:val="auto"/>
                <w:szCs w:val="21"/>
              </w:rPr>
              <w:t>数据库架构</w:t>
            </w:r>
          </w:p>
        </w:tc>
      </w:tr>
      <w:tr w14:paraId="223A5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97" w:type="dxa"/>
            <w:shd w:val="clear" w:color="auto" w:fill="auto"/>
            <w:vAlign w:val="center"/>
          </w:tcPr>
          <w:p w14:paraId="620958EA">
            <w:pPr>
              <w:spacing w:line="360" w:lineRule="auto"/>
              <w:jc w:val="center"/>
              <w:rPr>
                <w:rFonts w:ascii="宋体" w:hAnsi="宋体" w:cs="宋体"/>
                <w:color w:val="auto"/>
                <w:szCs w:val="21"/>
              </w:rPr>
            </w:pPr>
            <w:r>
              <w:rPr>
                <w:rFonts w:hint="eastAsia" w:ascii="宋体" w:hAnsi="宋体" w:cs="宋体"/>
                <w:color w:val="auto"/>
                <w:szCs w:val="21"/>
              </w:rPr>
              <w:t>H</w:t>
            </w:r>
            <w:r>
              <w:rPr>
                <w:rFonts w:ascii="宋体" w:hAnsi="宋体" w:cs="宋体"/>
                <w:color w:val="auto"/>
                <w:szCs w:val="21"/>
              </w:rPr>
              <w:t>IS</w:t>
            </w:r>
            <w:r>
              <w:rPr>
                <w:rFonts w:hint="eastAsia" w:ascii="宋体" w:hAnsi="宋体" w:cs="宋体"/>
                <w:color w:val="auto"/>
                <w:szCs w:val="21"/>
              </w:rPr>
              <w:t>数据库</w:t>
            </w:r>
          </w:p>
        </w:tc>
        <w:tc>
          <w:tcPr>
            <w:tcW w:w="1953" w:type="dxa"/>
            <w:shd w:val="clear" w:color="auto" w:fill="auto"/>
            <w:vAlign w:val="center"/>
          </w:tcPr>
          <w:p w14:paraId="1BA4F43C">
            <w:pPr>
              <w:spacing w:line="360" w:lineRule="auto"/>
              <w:jc w:val="center"/>
              <w:rPr>
                <w:rFonts w:ascii="宋体" w:hAnsi="宋体" w:cs="宋体"/>
                <w:color w:val="auto"/>
                <w:szCs w:val="21"/>
              </w:rPr>
            </w:pPr>
            <w:r>
              <w:rPr>
                <w:rFonts w:ascii="宋体" w:hAnsi="宋体" w:cs="宋体"/>
                <w:color w:val="auto"/>
                <w:szCs w:val="21"/>
              </w:rPr>
              <w:t>O</w:t>
            </w:r>
            <w:r>
              <w:rPr>
                <w:rFonts w:hint="eastAsia" w:ascii="宋体" w:hAnsi="宋体" w:cs="宋体"/>
                <w:color w:val="auto"/>
                <w:szCs w:val="21"/>
              </w:rPr>
              <w:t>racle</w:t>
            </w:r>
            <w:r>
              <w:rPr>
                <w:rFonts w:ascii="宋体" w:hAnsi="宋体" w:cs="宋体"/>
                <w:color w:val="auto"/>
                <w:szCs w:val="21"/>
              </w:rPr>
              <w:t xml:space="preserve"> RAC</w:t>
            </w:r>
          </w:p>
        </w:tc>
      </w:tr>
      <w:tr w14:paraId="2A99F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97" w:type="dxa"/>
            <w:shd w:val="clear" w:color="auto" w:fill="auto"/>
            <w:vAlign w:val="center"/>
          </w:tcPr>
          <w:p w14:paraId="327BD4E3">
            <w:pPr>
              <w:spacing w:line="360" w:lineRule="auto"/>
              <w:jc w:val="center"/>
              <w:rPr>
                <w:rFonts w:ascii="宋体" w:hAnsi="宋体" w:cs="宋体"/>
                <w:color w:val="auto"/>
                <w:szCs w:val="21"/>
              </w:rPr>
            </w:pPr>
            <w:r>
              <w:rPr>
                <w:rFonts w:hint="eastAsia" w:ascii="宋体" w:hAnsi="宋体" w:cs="宋体"/>
                <w:color w:val="auto"/>
                <w:szCs w:val="21"/>
              </w:rPr>
              <w:t>移动护理</w:t>
            </w:r>
          </w:p>
        </w:tc>
        <w:tc>
          <w:tcPr>
            <w:tcW w:w="1953" w:type="dxa"/>
            <w:shd w:val="clear" w:color="auto" w:fill="auto"/>
            <w:vAlign w:val="center"/>
          </w:tcPr>
          <w:p w14:paraId="53A2E0E1">
            <w:pPr>
              <w:spacing w:line="360" w:lineRule="auto"/>
              <w:jc w:val="center"/>
              <w:rPr>
                <w:rFonts w:ascii="宋体" w:hAnsi="宋体" w:cs="宋体"/>
                <w:color w:val="auto"/>
                <w:szCs w:val="21"/>
              </w:rPr>
            </w:pPr>
            <w:r>
              <w:rPr>
                <w:rFonts w:ascii="宋体" w:hAnsi="宋体" w:cs="宋体"/>
                <w:color w:val="auto"/>
                <w:szCs w:val="21"/>
              </w:rPr>
              <w:t>O</w:t>
            </w:r>
            <w:r>
              <w:rPr>
                <w:rFonts w:hint="eastAsia" w:ascii="宋体" w:hAnsi="宋体" w:cs="宋体"/>
                <w:color w:val="auto"/>
                <w:szCs w:val="21"/>
              </w:rPr>
              <w:t>racle单机</w:t>
            </w:r>
          </w:p>
        </w:tc>
      </w:tr>
      <w:tr w14:paraId="342C7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97" w:type="dxa"/>
            <w:shd w:val="clear" w:color="auto" w:fill="auto"/>
            <w:vAlign w:val="center"/>
          </w:tcPr>
          <w:p w14:paraId="70C3F631">
            <w:pPr>
              <w:spacing w:line="360" w:lineRule="auto"/>
              <w:jc w:val="center"/>
              <w:rPr>
                <w:rFonts w:ascii="宋体" w:hAnsi="宋体" w:cs="宋体"/>
                <w:color w:val="auto"/>
                <w:szCs w:val="21"/>
              </w:rPr>
            </w:pPr>
            <w:r>
              <w:rPr>
                <w:rFonts w:hint="eastAsia" w:ascii="宋体" w:hAnsi="宋体" w:cs="宋体"/>
                <w:color w:val="auto"/>
                <w:szCs w:val="21"/>
              </w:rPr>
              <w:t>电子病历</w:t>
            </w:r>
          </w:p>
        </w:tc>
        <w:tc>
          <w:tcPr>
            <w:tcW w:w="1953" w:type="dxa"/>
            <w:shd w:val="clear" w:color="auto" w:fill="auto"/>
            <w:vAlign w:val="center"/>
          </w:tcPr>
          <w:p w14:paraId="28C8A346">
            <w:pPr>
              <w:spacing w:line="360" w:lineRule="auto"/>
              <w:jc w:val="center"/>
              <w:rPr>
                <w:rFonts w:ascii="宋体" w:hAnsi="宋体" w:cs="宋体"/>
                <w:color w:val="auto"/>
                <w:szCs w:val="21"/>
              </w:rPr>
            </w:pPr>
            <w:r>
              <w:rPr>
                <w:rFonts w:ascii="宋体" w:hAnsi="宋体" w:cs="宋体"/>
                <w:color w:val="auto"/>
                <w:szCs w:val="21"/>
              </w:rPr>
              <w:t>O</w:t>
            </w:r>
            <w:r>
              <w:rPr>
                <w:rFonts w:hint="eastAsia" w:ascii="宋体" w:hAnsi="宋体" w:cs="宋体"/>
                <w:color w:val="auto"/>
                <w:szCs w:val="21"/>
              </w:rPr>
              <w:t>racle单机</w:t>
            </w:r>
          </w:p>
        </w:tc>
      </w:tr>
      <w:tr w14:paraId="10454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97" w:type="dxa"/>
            <w:shd w:val="clear" w:color="auto" w:fill="auto"/>
            <w:vAlign w:val="center"/>
          </w:tcPr>
          <w:p w14:paraId="28C8A7DE">
            <w:pPr>
              <w:spacing w:line="360" w:lineRule="auto"/>
              <w:jc w:val="center"/>
              <w:rPr>
                <w:rFonts w:ascii="宋体" w:hAnsi="宋体" w:cs="宋体"/>
                <w:color w:val="auto"/>
                <w:szCs w:val="21"/>
              </w:rPr>
            </w:pPr>
            <w:r>
              <w:rPr>
                <w:rFonts w:hint="eastAsia" w:ascii="宋体" w:hAnsi="宋体" w:cs="宋体"/>
                <w:color w:val="auto"/>
                <w:szCs w:val="21"/>
              </w:rPr>
              <w:t>手术麻醉系统</w:t>
            </w:r>
          </w:p>
        </w:tc>
        <w:tc>
          <w:tcPr>
            <w:tcW w:w="1953" w:type="dxa"/>
            <w:shd w:val="clear" w:color="auto" w:fill="auto"/>
            <w:vAlign w:val="center"/>
          </w:tcPr>
          <w:p w14:paraId="34DCA8D2">
            <w:pPr>
              <w:spacing w:line="360" w:lineRule="auto"/>
              <w:jc w:val="center"/>
              <w:rPr>
                <w:rFonts w:ascii="宋体" w:hAnsi="宋体" w:cs="宋体"/>
                <w:color w:val="auto"/>
                <w:szCs w:val="21"/>
              </w:rPr>
            </w:pPr>
            <w:r>
              <w:rPr>
                <w:rFonts w:ascii="宋体" w:hAnsi="宋体" w:cs="宋体"/>
                <w:color w:val="auto"/>
                <w:szCs w:val="21"/>
              </w:rPr>
              <w:t>O</w:t>
            </w:r>
            <w:r>
              <w:rPr>
                <w:rFonts w:hint="eastAsia" w:ascii="宋体" w:hAnsi="宋体" w:cs="宋体"/>
                <w:color w:val="auto"/>
                <w:szCs w:val="21"/>
              </w:rPr>
              <w:t>racle单机</w:t>
            </w:r>
          </w:p>
        </w:tc>
      </w:tr>
      <w:tr w14:paraId="79D74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97" w:type="dxa"/>
            <w:shd w:val="clear" w:color="auto" w:fill="auto"/>
            <w:vAlign w:val="center"/>
          </w:tcPr>
          <w:p w14:paraId="4D46B0B0">
            <w:pPr>
              <w:spacing w:line="360" w:lineRule="auto"/>
              <w:jc w:val="center"/>
              <w:rPr>
                <w:rFonts w:ascii="宋体" w:hAnsi="宋体" w:cs="宋体"/>
                <w:color w:val="auto"/>
                <w:szCs w:val="21"/>
              </w:rPr>
            </w:pPr>
            <w:r>
              <w:rPr>
                <w:rFonts w:hint="eastAsia" w:ascii="宋体" w:hAnsi="宋体" w:cs="宋体"/>
                <w:color w:val="auto"/>
                <w:szCs w:val="21"/>
              </w:rPr>
              <w:t>电子票据系统</w:t>
            </w:r>
          </w:p>
        </w:tc>
        <w:tc>
          <w:tcPr>
            <w:tcW w:w="1953" w:type="dxa"/>
            <w:shd w:val="clear" w:color="auto" w:fill="auto"/>
            <w:vAlign w:val="center"/>
          </w:tcPr>
          <w:p w14:paraId="2BF53AA3">
            <w:pPr>
              <w:spacing w:line="360" w:lineRule="auto"/>
              <w:jc w:val="center"/>
              <w:rPr>
                <w:rFonts w:ascii="宋体" w:hAnsi="宋体" w:cs="宋体"/>
                <w:color w:val="auto"/>
                <w:szCs w:val="21"/>
              </w:rPr>
            </w:pPr>
            <w:r>
              <w:rPr>
                <w:rFonts w:ascii="宋体" w:hAnsi="宋体" w:cs="宋体"/>
                <w:color w:val="auto"/>
                <w:szCs w:val="21"/>
              </w:rPr>
              <w:t>O</w:t>
            </w:r>
            <w:r>
              <w:rPr>
                <w:rFonts w:hint="eastAsia" w:ascii="宋体" w:hAnsi="宋体" w:cs="宋体"/>
                <w:color w:val="auto"/>
                <w:szCs w:val="21"/>
              </w:rPr>
              <w:t>racle单机</w:t>
            </w:r>
          </w:p>
        </w:tc>
      </w:tr>
      <w:tr w14:paraId="3F0D8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97" w:type="dxa"/>
            <w:shd w:val="clear" w:color="auto" w:fill="auto"/>
            <w:vAlign w:val="center"/>
          </w:tcPr>
          <w:p w14:paraId="53865685">
            <w:pPr>
              <w:spacing w:line="360" w:lineRule="auto"/>
              <w:jc w:val="center"/>
              <w:rPr>
                <w:rFonts w:ascii="宋体" w:hAnsi="宋体" w:cs="宋体"/>
                <w:color w:val="auto"/>
                <w:szCs w:val="21"/>
              </w:rPr>
            </w:pPr>
            <w:r>
              <w:rPr>
                <w:rFonts w:hint="eastAsia" w:ascii="宋体" w:hAnsi="宋体" w:cs="宋体"/>
                <w:color w:val="auto"/>
                <w:szCs w:val="21"/>
              </w:rPr>
              <w:t>L</w:t>
            </w:r>
            <w:r>
              <w:rPr>
                <w:rFonts w:ascii="宋体" w:hAnsi="宋体" w:cs="宋体"/>
                <w:color w:val="auto"/>
                <w:szCs w:val="21"/>
              </w:rPr>
              <w:t>IS</w:t>
            </w:r>
            <w:r>
              <w:rPr>
                <w:rFonts w:hint="eastAsia" w:ascii="宋体" w:hAnsi="宋体" w:cs="宋体"/>
                <w:color w:val="auto"/>
                <w:szCs w:val="21"/>
              </w:rPr>
              <w:t>数据库</w:t>
            </w:r>
          </w:p>
        </w:tc>
        <w:tc>
          <w:tcPr>
            <w:tcW w:w="1953" w:type="dxa"/>
            <w:shd w:val="clear" w:color="auto" w:fill="auto"/>
            <w:vAlign w:val="center"/>
          </w:tcPr>
          <w:p w14:paraId="63B20242">
            <w:pPr>
              <w:spacing w:line="360" w:lineRule="auto"/>
              <w:jc w:val="center"/>
              <w:rPr>
                <w:rFonts w:ascii="宋体" w:hAnsi="宋体" w:cs="宋体"/>
                <w:color w:val="auto"/>
                <w:szCs w:val="21"/>
              </w:rPr>
            </w:pPr>
            <w:r>
              <w:rPr>
                <w:rFonts w:hint="eastAsia" w:ascii="宋体" w:hAnsi="宋体" w:cs="宋体"/>
                <w:color w:val="auto"/>
                <w:szCs w:val="21"/>
              </w:rPr>
              <w:t>S</w:t>
            </w:r>
            <w:r>
              <w:rPr>
                <w:rFonts w:ascii="宋体" w:hAnsi="宋体" w:cs="宋体"/>
                <w:color w:val="auto"/>
                <w:szCs w:val="21"/>
              </w:rPr>
              <w:t>QL S</w:t>
            </w:r>
            <w:r>
              <w:rPr>
                <w:rFonts w:hint="eastAsia" w:ascii="宋体" w:hAnsi="宋体" w:cs="宋体"/>
                <w:color w:val="auto"/>
                <w:szCs w:val="21"/>
              </w:rPr>
              <w:t>erver</w:t>
            </w:r>
          </w:p>
        </w:tc>
      </w:tr>
      <w:tr w14:paraId="6579A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97" w:type="dxa"/>
            <w:shd w:val="clear" w:color="auto" w:fill="auto"/>
            <w:vAlign w:val="center"/>
          </w:tcPr>
          <w:p w14:paraId="04B167F8">
            <w:pPr>
              <w:spacing w:line="360" w:lineRule="auto"/>
              <w:jc w:val="center"/>
              <w:rPr>
                <w:rFonts w:ascii="宋体" w:hAnsi="宋体" w:cs="宋体"/>
                <w:color w:val="auto"/>
                <w:szCs w:val="21"/>
              </w:rPr>
            </w:pPr>
            <w:r>
              <w:rPr>
                <w:rFonts w:hint="eastAsia" w:ascii="宋体" w:hAnsi="宋体" w:cs="宋体"/>
                <w:color w:val="auto"/>
                <w:szCs w:val="21"/>
              </w:rPr>
              <w:t>其他数据库</w:t>
            </w:r>
          </w:p>
        </w:tc>
        <w:tc>
          <w:tcPr>
            <w:tcW w:w="1953" w:type="dxa"/>
            <w:shd w:val="clear" w:color="auto" w:fill="auto"/>
            <w:vAlign w:val="center"/>
          </w:tcPr>
          <w:p w14:paraId="24EE4FD7">
            <w:pPr>
              <w:spacing w:line="360" w:lineRule="auto"/>
              <w:jc w:val="center"/>
              <w:rPr>
                <w:rFonts w:ascii="宋体" w:hAnsi="宋体" w:cs="宋体"/>
                <w:color w:val="auto"/>
                <w:szCs w:val="21"/>
              </w:rPr>
            </w:pPr>
            <w:r>
              <w:rPr>
                <w:rFonts w:ascii="宋体" w:hAnsi="宋体" w:cs="宋体"/>
                <w:color w:val="auto"/>
                <w:szCs w:val="21"/>
              </w:rPr>
              <w:t>MySQL</w:t>
            </w:r>
          </w:p>
        </w:tc>
      </w:tr>
      <w:tr w14:paraId="110DA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97" w:type="dxa"/>
            <w:shd w:val="clear" w:color="auto" w:fill="auto"/>
            <w:vAlign w:val="center"/>
          </w:tcPr>
          <w:p w14:paraId="452AA9C1">
            <w:pPr>
              <w:spacing w:line="360" w:lineRule="auto"/>
              <w:jc w:val="center"/>
              <w:rPr>
                <w:rFonts w:ascii="宋体" w:hAnsi="宋体" w:cs="宋体"/>
                <w:color w:val="auto"/>
                <w:szCs w:val="21"/>
              </w:rPr>
            </w:pPr>
            <w:r>
              <w:rPr>
                <w:rFonts w:hint="eastAsia" w:ascii="宋体" w:hAnsi="宋体" w:cs="宋体"/>
                <w:color w:val="auto"/>
                <w:szCs w:val="21"/>
              </w:rPr>
              <w:t>信创数据库</w:t>
            </w:r>
          </w:p>
        </w:tc>
        <w:tc>
          <w:tcPr>
            <w:tcW w:w="1953" w:type="dxa"/>
            <w:shd w:val="clear" w:color="auto" w:fill="auto"/>
            <w:vAlign w:val="center"/>
          </w:tcPr>
          <w:p w14:paraId="10BF2C28">
            <w:pPr>
              <w:spacing w:line="360" w:lineRule="auto"/>
              <w:jc w:val="center"/>
              <w:rPr>
                <w:rFonts w:hint="default" w:ascii="宋体" w:hAnsi="宋体" w:eastAsia="宋体" w:cs="宋体"/>
                <w:color w:val="auto"/>
                <w:szCs w:val="21"/>
                <w:lang w:val="en-US" w:eastAsia="zh-CN"/>
              </w:rPr>
            </w:pPr>
            <w:r>
              <w:rPr>
                <w:rFonts w:hint="eastAsia" w:ascii="宋体" w:hAnsi="宋体" w:cs="宋体"/>
                <w:color w:val="auto"/>
                <w:szCs w:val="21"/>
                <w:lang w:val="en-US" w:eastAsia="zh-CN"/>
              </w:rPr>
              <w:t>海量</w:t>
            </w:r>
            <w:r>
              <w:rPr>
                <w:rFonts w:hint="eastAsia" w:ascii="宋体" w:hAnsi="宋体" w:cs="宋体"/>
                <w:color w:val="auto"/>
                <w:szCs w:val="21"/>
              </w:rPr>
              <w:t>数据库</w:t>
            </w:r>
            <w:r>
              <w:rPr>
                <w:rFonts w:hint="eastAsia" w:ascii="宋体" w:hAnsi="宋体" w:cs="宋体"/>
                <w:color w:val="auto"/>
                <w:szCs w:val="21"/>
                <w:lang w:val="en-US" w:eastAsia="zh-CN"/>
              </w:rPr>
              <w:t>G100管理系统V2.2</w:t>
            </w:r>
          </w:p>
        </w:tc>
      </w:tr>
    </w:tbl>
    <w:p w14:paraId="06A343CD">
      <w:pPr>
        <w:spacing w:line="360" w:lineRule="auto"/>
        <w:rPr>
          <w:rFonts w:ascii="宋体" w:hAnsi="宋体"/>
          <w:color w:val="auto"/>
          <w:szCs w:val="21"/>
        </w:rPr>
      </w:pPr>
    </w:p>
    <w:p w14:paraId="406CD1C9">
      <w:pPr>
        <w:spacing w:line="360" w:lineRule="auto"/>
        <w:rPr>
          <w:rFonts w:ascii="宋体" w:hAnsi="宋体"/>
          <w:color w:val="auto"/>
          <w:szCs w:val="21"/>
        </w:rPr>
      </w:pPr>
      <w:r>
        <w:rPr>
          <w:rFonts w:hint="eastAsia" w:ascii="宋体" w:hAnsi="宋体"/>
          <w:color w:val="auto"/>
          <w:szCs w:val="21"/>
        </w:rPr>
        <w:t>2.服务内容</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75"/>
        <w:gridCol w:w="4947"/>
      </w:tblGrid>
      <w:tr w14:paraId="55AE1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3575" w:type="dxa"/>
            <w:tcBorders>
              <w:top w:val="single" w:color="auto" w:sz="4" w:space="0"/>
              <w:left w:val="single" w:color="auto" w:sz="4" w:space="0"/>
              <w:bottom w:val="single" w:color="auto" w:sz="4" w:space="0"/>
              <w:right w:val="single" w:color="auto" w:sz="4" w:space="0"/>
            </w:tcBorders>
            <w:shd w:val="clear" w:color="auto" w:fill="E7E6E6" w:themeFill="background2"/>
            <w:vAlign w:val="center"/>
          </w:tcPr>
          <w:p w14:paraId="6C497F14">
            <w:pPr>
              <w:spacing w:line="360" w:lineRule="auto"/>
              <w:jc w:val="center"/>
              <w:rPr>
                <w:rFonts w:ascii="宋体" w:hAnsi="宋体"/>
                <w:b/>
                <w:bCs/>
                <w:color w:val="auto"/>
                <w:szCs w:val="21"/>
              </w:rPr>
            </w:pPr>
            <w:r>
              <w:rPr>
                <w:rFonts w:hint="eastAsia" w:ascii="宋体" w:hAnsi="宋体"/>
                <w:b/>
                <w:bCs/>
                <w:color w:val="auto"/>
                <w:szCs w:val="21"/>
              </w:rPr>
              <w:t>服务项目</w:t>
            </w:r>
          </w:p>
        </w:tc>
        <w:tc>
          <w:tcPr>
            <w:tcW w:w="4947" w:type="dxa"/>
            <w:tcBorders>
              <w:top w:val="single" w:color="auto" w:sz="4" w:space="0"/>
              <w:left w:val="single" w:color="auto" w:sz="4" w:space="0"/>
              <w:bottom w:val="single" w:color="auto" w:sz="4" w:space="0"/>
              <w:right w:val="single" w:color="auto" w:sz="4" w:space="0"/>
            </w:tcBorders>
            <w:shd w:val="clear" w:color="auto" w:fill="E7E6E6" w:themeFill="background2"/>
            <w:vAlign w:val="center"/>
          </w:tcPr>
          <w:p w14:paraId="5A9D0AA4">
            <w:pPr>
              <w:spacing w:line="360" w:lineRule="auto"/>
              <w:jc w:val="center"/>
              <w:rPr>
                <w:rFonts w:ascii="宋体" w:hAnsi="宋体"/>
                <w:b/>
                <w:bCs/>
                <w:color w:val="auto"/>
                <w:szCs w:val="21"/>
              </w:rPr>
            </w:pPr>
            <w:r>
              <w:rPr>
                <w:rFonts w:hint="eastAsia" w:ascii="宋体" w:hAnsi="宋体"/>
                <w:b/>
                <w:bCs/>
                <w:color w:val="auto"/>
                <w:szCs w:val="21"/>
              </w:rPr>
              <w:t>服务要求</w:t>
            </w:r>
          </w:p>
        </w:tc>
      </w:tr>
      <w:tr w14:paraId="65FC8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3575" w:type="dxa"/>
            <w:tcBorders>
              <w:top w:val="single" w:color="auto" w:sz="4" w:space="0"/>
              <w:left w:val="single" w:color="auto" w:sz="4" w:space="0"/>
              <w:bottom w:val="single" w:color="auto" w:sz="4" w:space="0"/>
              <w:right w:val="single" w:color="auto" w:sz="4" w:space="0"/>
            </w:tcBorders>
            <w:vAlign w:val="center"/>
          </w:tcPr>
          <w:p w14:paraId="11BA8BBC">
            <w:pPr>
              <w:spacing w:line="360" w:lineRule="auto"/>
              <w:jc w:val="center"/>
              <w:rPr>
                <w:rFonts w:ascii="宋体" w:hAnsi="宋体"/>
                <w:color w:val="auto"/>
                <w:szCs w:val="21"/>
              </w:rPr>
            </w:pPr>
            <w:r>
              <w:rPr>
                <w:rFonts w:hint="eastAsia" w:ascii="宋体" w:hAnsi="宋体"/>
                <w:color w:val="auto"/>
                <w:szCs w:val="21"/>
              </w:rPr>
              <w:t>电话支持服务</w:t>
            </w:r>
          </w:p>
        </w:tc>
        <w:tc>
          <w:tcPr>
            <w:tcW w:w="4947" w:type="dxa"/>
            <w:tcBorders>
              <w:top w:val="single" w:color="auto" w:sz="4" w:space="0"/>
              <w:left w:val="single" w:color="auto" w:sz="4" w:space="0"/>
              <w:bottom w:val="single" w:color="auto" w:sz="4" w:space="0"/>
              <w:right w:val="single" w:color="auto" w:sz="4" w:space="0"/>
            </w:tcBorders>
            <w:vAlign w:val="center"/>
          </w:tcPr>
          <w:p w14:paraId="3C8F715B">
            <w:pPr>
              <w:spacing w:line="360" w:lineRule="auto"/>
              <w:jc w:val="center"/>
              <w:rPr>
                <w:rFonts w:ascii="宋体" w:hAnsi="宋体"/>
                <w:color w:val="auto"/>
                <w:szCs w:val="21"/>
              </w:rPr>
            </w:pPr>
            <w:r>
              <w:rPr>
                <w:rFonts w:hint="eastAsia" w:ascii="宋体" w:hAnsi="宋体"/>
                <w:color w:val="auto"/>
                <w:szCs w:val="21"/>
              </w:rPr>
              <w:t>医院可以通过维护商的全国统一</w:t>
            </w:r>
            <w:r>
              <w:rPr>
                <w:rFonts w:ascii="宋体" w:hAnsi="宋体"/>
                <w:color w:val="auto"/>
                <w:szCs w:val="21"/>
              </w:rPr>
              <w:t>服务热线进行故障报修或提出技术支持请求</w:t>
            </w:r>
            <w:r>
              <w:rPr>
                <w:rFonts w:hint="eastAsia" w:ascii="宋体" w:hAnsi="宋体"/>
                <w:color w:val="auto"/>
                <w:szCs w:val="21"/>
              </w:rPr>
              <w:t>，协助解决运维工作的日常维护问题。</w:t>
            </w:r>
          </w:p>
        </w:tc>
      </w:tr>
      <w:tr w14:paraId="7812F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3575" w:type="dxa"/>
            <w:tcBorders>
              <w:top w:val="single" w:color="auto" w:sz="4" w:space="0"/>
              <w:left w:val="single" w:color="auto" w:sz="4" w:space="0"/>
              <w:bottom w:val="single" w:color="auto" w:sz="4" w:space="0"/>
              <w:right w:val="single" w:color="auto" w:sz="4" w:space="0"/>
            </w:tcBorders>
            <w:vAlign w:val="center"/>
          </w:tcPr>
          <w:p w14:paraId="234EB939">
            <w:pPr>
              <w:spacing w:line="360" w:lineRule="auto"/>
              <w:jc w:val="center"/>
              <w:rPr>
                <w:rFonts w:ascii="宋体" w:hAnsi="宋体"/>
                <w:color w:val="auto"/>
                <w:szCs w:val="21"/>
              </w:rPr>
            </w:pPr>
            <w:r>
              <w:rPr>
                <w:rFonts w:hint="eastAsia" w:ascii="宋体" w:hAnsi="宋体"/>
                <w:color w:val="auto"/>
                <w:szCs w:val="21"/>
              </w:rPr>
              <w:t>电子化支持服务</w:t>
            </w:r>
          </w:p>
        </w:tc>
        <w:tc>
          <w:tcPr>
            <w:tcW w:w="4947" w:type="dxa"/>
            <w:tcBorders>
              <w:top w:val="single" w:color="auto" w:sz="4" w:space="0"/>
              <w:left w:val="single" w:color="auto" w:sz="4" w:space="0"/>
              <w:bottom w:val="single" w:color="auto" w:sz="4" w:space="0"/>
              <w:right w:val="single" w:color="auto" w:sz="4" w:space="0"/>
            </w:tcBorders>
            <w:vAlign w:val="center"/>
          </w:tcPr>
          <w:p w14:paraId="1E2477C1">
            <w:pPr>
              <w:spacing w:line="360" w:lineRule="auto"/>
              <w:jc w:val="center"/>
              <w:rPr>
                <w:rFonts w:ascii="宋体" w:hAnsi="宋体"/>
                <w:color w:val="auto"/>
                <w:szCs w:val="21"/>
              </w:rPr>
            </w:pPr>
            <w:r>
              <w:rPr>
                <w:rFonts w:hint="eastAsia" w:ascii="宋体" w:hAnsi="宋体"/>
                <w:color w:val="auto"/>
                <w:szCs w:val="21"/>
              </w:rPr>
              <w:t>医院可以通过电子邮件、论坛、MSN等方式与维护商工程师取得联系，咨询技术问题、获得相关文档资料。维护商需为医院提供专门的支持电子邮箱，并有专人负责处理该邮件，确保电子化支持服务渠道畅通、回复及时。</w:t>
            </w:r>
          </w:p>
        </w:tc>
      </w:tr>
      <w:tr w14:paraId="60275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75" w:type="dxa"/>
            <w:tcBorders>
              <w:top w:val="single" w:color="auto" w:sz="4" w:space="0"/>
              <w:left w:val="single" w:color="auto" w:sz="4" w:space="0"/>
              <w:bottom w:val="single" w:color="auto" w:sz="4" w:space="0"/>
              <w:right w:val="single" w:color="auto" w:sz="4" w:space="0"/>
            </w:tcBorders>
            <w:vAlign w:val="center"/>
          </w:tcPr>
          <w:p w14:paraId="0B54EB1C">
            <w:pPr>
              <w:spacing w:line="360" w:lineRule="auto"/>
              <w:jc w:val="center"/>
              <w:rPr>
                <w:rFonts w:ascii="宋体" w:hAnsi="宋体"/>
                <w:color w:val="auto"/>
                <w:szCs w:val="21"/>
              </w:rPr>
            </w:pPr>
            <w:r>
              <w:rPr>
                <w:rFonts w:hint="eastAsia" w:ascii="宋体" w:hAnsi="宋体"/>
                <w:color w:val="auto"/>
                <w:szCs w:val="21"/>
              </w:rPr>
              <w:t>远程支持服务</w:t>
            </w:r>
          </w:p>
        </w:tc>
        <w:tc>
          <w:tcPr>
            <w:tcW w:w="4947" w:type="dxa"/>
            <w:tcBorders>
              <w:top w:val="single" w:color="auto" w:sz="4" w:space="0"/>
              <w:left w:val="single" w:color="auto" w:sz="4" w:space="0"/>
              <w:bottom w:val="single" w:color="auto" w:sz="4" w:space="0"/>
              <w:right w:val="single" w:color="auto" w:sz="4" w:space="0"/>
            </w:tcBorders>
            <w:vAlign w:val="center"/>
          </w:tcPr>
          <w:p w14:paraId="53CC5009">
            <w:pPr>
              <w:spacing w:line="360" w:lineRule="auto"/>
              <w:jc w:val="center"/>
              <w:rPr>
                <w:rFonts w:ascii="宋体" w:hAnsi="宋体"/>
                <w:color w:val="auto"/>
                <w:szCs w:val="21"/>
              </w:rPr>
            </w:pPr>
            <w:r>
              <w:rPr>
                <w:rFonts w:hint="eastAsia" w:ascii="宋体" w:hAnsi="宋体"/>
                <w:color w:val="auto"/>
                <w:szCs w:val="21"/>
              </w:rPr>
              <w:t>医院提供远程连接，维护商的工程师提供远程服务支持，以快速响应医院的服务要求。</w:t>
            </w:r>
          </w:p>
        </w:tc>
      </w:tr>
      <w:tr w14:paraId="20F70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75" w:type="dxa"/>
            <w:tcBorders>
              <w:top w:val="single" w:color="auto" w:sz="4" w:space="0"/>
              <w:left w:val="single" w:color="auto" w:sz="4" w:space="0"/>
              <w:bottom w:val="single" w:color="auto" w:sz="4" w:space="0"/>
              <w:right w:val="single" w:color="auto" w:sz="4" w:space="0"/>
            </w:tcBorders>
            <w:vAlign w:val="center"/>
          </w:tcPr>
          <w:p w14:paraId="5F8DE097">
            <w:pPr>
              <w:spacing w:line="360" w:lineRule="auto"/>
              <w:jc w:val="center"/>
              <w:rPr>
                <w:rFonts w:ascii="宋体" w:hAnsi="宋体"/>
                <w:color w:val="auto"/>
                <w:szCs w:val="21"/>
              </w:rPr>
            </w:pPr>
            <w:r>
              <w:rPr>
                <w:rFonts w:ascii="宋体" w:hAnsi="宋体"/>
                <w:color w:val="auto"/>
                <w:szCs w:val="21"/>
              </w:rPr>
              <w:t>项目专人接口服务</w:t>
            </w:r>
          </w:p>
        </w:tc>
        <w:tc>
          <w:tcPr>
            <w:tcW w:w="4947" w:type="dxa"/>
            <w:tcBorders>
              <w:top w:val="single" w:color="auto" w:sz="4" w:space="0"/>
              <w:left w:val="single" w:color="auto" w:sz="4" w:space="0"/>
              <w:bottom w:val="single" w:color="auto" w:sz="4" w:space="0"/>
              <w:right w:val="single" w:color="auto" w:sz="4" w:space="0"/>
            </w:tcBorders>
            <w:vAlign w:val="center"/>
          </w:tcPr>
          <w:p w14:paraId="60EDE1A9">
            <w:pPr>
              <w:spacing w:line="360" w:lineRule="auto"/>
              <w:jc w:val="center"/>
              <w:rPr>
                <w:rFonts w:ascii="宋体" w:hAnsi="宋体"/>
                <w:color w:val="auto"/>
                <w:szCs w:val="21"/>
              </w:rPr>
            </w:pPr>
            <w:r>
              <w:rPr>
                <w:rFonts w:hint="eastAsia" w:ascii="宋体" w:hAnsi="宋体"/>
                <w:color w:val="auto"/>
                <w:szCs w:val="21"/>
              </w:rPr>
              <w:t>维护商指派单一项目接口人</w:t>
            </w:r>
            <w:r>
              <w:rPr>
                <w:rFonts w:ascii="宋体" w:hAnsi="宋体"/>
                <w:color w:val="auto"/>
                <w:szCs w:val="21"/>
              </w:rPr>
              <w:t>,负责医院维保项目</w:t>
            </w:r>
            <w:r>
              <w:rPr>
                <w:rFonts w:hint="eastAsia" w:ascii="宋体" w:hAnsi="宋体"/>
                <w:color w:val="auto"/>
                <w:szCs w:val="21"/>
              </w:rPr>
              <w:t>的</w:t>
            </w:r>
            <w:r>
              <w:rPr>
                <w:rFonts w:ascii="宋体" w:hAnsi="宋体"/>
                <w:color w:val="auto"/>
                <w:szCs w:val="21"/>
              </w:rPr>
              <w:t>所有维护接口工作,</w:t>
            </w:r>
            <w:r>
              <w:rPr>
                <w:rFonts w:hint="eastAsia" w:ascii="宋体" w:hAnsi="宋体"/>
                <w:color w:val="auto"/>
                <w:szCs w:val="21"/>
              </w:rPr>
              <w:t>制订并定期回顾服务实施计划、协调工程师资源、重大故障管理及服务请求协助、管理和监控。</w:t>
            </w:r>
          </w:p>
        </w:tc>
      </w:tr>
      <w:tr w14:paraId="3D2FB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75" w:type="dxa"/>
            <w:tcBorders>
              <w:top w:val="single" w:color="auto" w:sz="4" w:space="0"/>
              <w:left w:val="single" w:color="auto" w:sz="4" w:space="0"/>
              <w:bottom w:val="single" w:color="auto" w:sz="4" w:space="0"/>
              <w:right w:val="single" w:color="auto" w:sz="4" w:space="0"/>
            </w:tcBorders>
            <w:vAlign w:val="center"/>
          </w:tcPr>
          <w:p w14:paraId="3F6D2477">
            <w:pPr>
              <w:spacing w:line="360" w:lineRule="auto"/>
              <w:jc w:val="center"/>
              <w:rPr>
                <w:rFonts w:ascii="宋体" w:hAnsi="宋体"/>
                <w:color w:val="auto"/>
                <w:szCs w:val="21"/>
              </w:rPr>
            </w:pPr>
            <w:r>
              <w:rPr>
                <w:rFonts w:hint="eastAsia" w:ascii="宋体" w:hAnsi="宋体"/>
                <w:color w:val="auto"/>
                <w:szCs w:val="21"/>
              </w:rPr>
              <w:t>现场支持服务</w:t>
            </w:r>
          </w:p>
        </w:tc>
        <w:tc>
          <w:tcPr>
            <w:tcW w:w="4947" w:type="dxa"/>
            <w:tcBorders>
              <w:top w:val="single" w:color="auto" w:sz="4" w:space="0"/>
              <w:left w:val="single" w:color="auto" w:sz="4" w:space="0"/>
              <w:bottom w:val="single" w:color="auto" w:sz="4" w:space="0"/>
              <w:right w:val="single" w:color="auto" w:sz="4" w:space="0"/>
            </w:tcBorders>
            <w:vAlign w:val="center"/>
          </w:tcPr>
          <w:p w14:paraId="591CB3EF">
            <w:pPr>
              <w:spacing w:line="360" w:lineRule="auto"/>
              <w:jc w:val="center"/>
              <w:rPr>
                <w:rFonts w:ascii="宋体" w:hAnsi="宋体"/>
                <w:color w:val="auto"/>
                <w:szCs w:val="21"/>
              </w:rPr>
            </w:pPr>
            <w:r>
              <w:rPr>
                <w:rFonts w:hint="eastAsia" w:ascii="宋体" w:hAnsi="宋体"/>
                <w:color w:val="auto"/>
                <w:szCs w:val="21"/>
              </w:rPr>
              <w:t>不限次数，适用于维护期内对需要提供现场服务的工作响应，如操作系统参数调整、数据库配置调整等服务。</w:t>
            </w:r>
          </w:p>
        </w:tc>
      </w:tr>
      <w:tr w14:paraId="03C8F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3575" w:type="dxa"/>
            <w:tcBorders>
              <w:top w:val="single" w:color="auto" w:sz="4" w:space="0"/>
              <w:left w:val="single" w:color="auto" w:sz="4" w:space="0"/>
              <w:bottom w:val="single" w:color="auto" w:sz="4" w:space="0"/>
              <w:right w:val="single" w:color="auto" w:sz="4" w:space="0"/>
            </w:tcBorders>
            <w:vAlign w:val="center"/>
          </w:tcPr>
          <w:p w14:paraId="6A4C7217">
            <w:pPr>
              <w:spacing w:line="360" w:lineRule="auto"/>
              <w:jc w:val="center"/>
              <w:rPr>
                <w:rFonts w:ascii="宋体" w:hAnsi="宋体"/>
                <w:color w:val="auto"/>
                <w:szCs w:val="21"/>
              </w:rPr>
            </w:pPr>
            <w:r>
              <w:rPr>
                <w:rFonts w:hint="eastAsia" w:ascii="宋体" w:hAnsi="宋体"/>
                <w:color w:val="auto"/>
                <w:szCs w:val="21"/>
              </w:rPr>
              <w:t>紧急救援服务</w:t>
            </w:r>
          </w:p>
        </w:tc>
        <w:tc>
          <w:tcPr>
            <w:tcW w:w="4947" w:type="dxa"/>
            <w:tcBorders>
              <w:top w:val="single" w:color="auto" w:sz="4" w:space="0"/>
              <w:left w:val="single" w:color="auto" w:sz="4" w:space="0"/>
              <w:bottom w:val="single" w:color="auto" w:sz="4" w:space="0"/>
              <w:right w:val="single" w:color="auto" w:sz="4" w:space="0"/>
            </w:tcBorders>
            <w:vAlign w:val="center"/>
          </w:tcPr>
          <w:p w14:paraId="11C1D1FF">
            <w:pPr>
              <w:spacing w:line="360" w:lineRule="auto"/>
              <w:jc w:val="center"/>
              <w:rPr>
                <w:rFonts w:ascii="宋体" w:hAnsi="宋体"/>
                <w:color w:val="auto"/>
                <w:szCs w:val="21"/>
              </w:rPr>
            </w:pPr>
            <w:r>
              <w:rPr>
                <w:rFonts w:hint="eastAsia" w:ascii="宋体" w:hAnsi="宋体"/>
                <w:color w:val="auto"/>
                <w:szCs w:val="21"/>
              </w:rPr>
              <w:t>不限次数紧急救援适用：</w:t>
            </w:r>
          </w:p>
          <w:p w14:paraId="53A1DDDB">
            <w:pPr>
              <w:spacing w:line="360" w:lineRule="auto"/>
              <w:jc w:val="center"/>
              <w:rPr>
                <w:rFonts w:ascii="宋体" w:hAnsi="宋体"/>
                <w:color w:val="auto"/>
                <w:szCs w:val="21"/>
              </w:rPr>
            </w:pPr>
            <w:r>
              <w:rPr>
                <w:rFonts w:hint="eastAsia" w:ascii="宋体" w:hAnsi="宋体"/>
                <w:color w:val="auto"/>
                <w:szCs w:val="21"/>
              </w:rPr>
              <w:t>对于宕机、坏块、数据库HANG等影响正常业务的紧急故障，医院可与维护商项目接口人取得联系，必要时由其向二线工程师寻求支持，协助解决问题。</w:t>
            </w:r>
          </w:p>
        </w:tc>
      </w:tr>
      <w:tr w14:paraId="03AD4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3" w:hRule="atLeast"/>
          <w:jc w:val="center"/>
        </w:trPr>
        <w:tc>
          <w:tcPr>
            <w:tcW w:w="3575" w:type="dxa"/>
            <w:tcBorders>
              <w:top w:val="single" w:color="auto" w:sz="4" w:space="0"/>
              <w:left w:val="single" w:color="auto" w:sz="4" w:space="0"/>
              <w:bottom w:val="single" w:color="auto" w:sz="4" w:space="0"/>
              <w:right w:val="single" w:color="auto" w:sz="4" w:space="0"/>
            </w:tcBorders>
            <w:vAlign w:val="center"/>
          </w:tcPr>
          <w:p w14:paraId="501B15CD">
            <w:pPr>
              <w:spacing w:line="360" w:lineRule="auto"/>
              <w:jc w:val="center"/>
              <w:rPr>
                <w:rFonts w:ascii="宋体" w:hAnsi="宋体"/>
                <w:color w:val="auto"/>
                <w:szCs w:val="21"/>
              </w:rPr>
            </w:pPr>
            <w:r>
              <w:rPr>
                <w:rFonts w:hint="eastAsia" w:ascii="宋体" w:hAnsi="宋体"/>
                <w:color w:val="auto"/>
                <w:szCs w:val="21"/>
              </w:rPr>
              <w:t>巡检服务</w:t>
            </w:r>
          </w:p>
        </w:tc>
        <w:tc>
          <w:tcPr>
            <w:tcW w:w="4947" w:type="dxa"/>
            <w:tcBorders>
              <w:top w:val="single" w:color="auto" w:sz="4" w:space="0"/>
              <w:left w:val="single" w:color="auto" w:sz="4" w:space="0"/>
              <w:bottom w:val="single" w:color="auto" w:sz="4" w:space="0"/>
              <w:right w:val="single" w:color="auto" w:sz="4" w:space="0"/>
            </w:tcBorders>
            <w:vAlign w:val="center"/>
          </w:tcPr>
          <w:p w14:paraId="3A20496B">
            <w:pPr>
              <w:spacing w:line="360" w:lineRule="auto"/>
              <w:jc w:val="center"/>
              <w:rPr>
                <w:rFonts w:ascii="宋体" w:hAnsi="宋体"/>
                <w:color w:val="auto"/>
                <w:szCs w:val="21"/>
              </w:rPr>
            </w:pPr>
            <w:r>
              <w:rPr>
                <w:rFonts w:hint="eastAsia" w:ascii="宋体" w:hAnsi="宋体"/>
                <w:color w:val="auto"/>
                <w:szCs w:val="21"/>
              </w:rPr>
              <w:t>由维护商定期对医院进行数据库深度巡检服务。通过数据库巡检了解系统功能和限制，在问题发生前采取预防措施，维护商巡检专家需执行完善的数据库巡检步骤，收集系统信息（包括系统配置、数据库配置、存储情况、备份有效性、性能状况等），分析数据库系统现状，发现潜在问题并给出相关调整建议，以降低潜在的数据丢失、安全侵犯、停机、性能下降或资源限制抢救无效等风险。</w:t>
            </w:r>
          </w:p>
        </w:tc>
      </w:tr>
      <w:tr w14:paraId="03419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3" w:hRule="atLeast"/>
          <w:jc w:val="center"/>
        </w:trPr>
        <w:tc>
          <w:tcPr>
            <w:tcW w:w="3575" w:type="dxa"/>
            <w:tcBorders>
              <w:top w:val="single" w:color="auto" w:sz="4" w:space="0"/>
              <w:left w:val="single" w:color="auto" w:sz="4" w:space="0"/>
              <w:bottom w:val="single" w:color="auto" w:sz="4" w:space="0"/>
              <w:right w:val="single" w:color="auto" w:sz="4" w:space="0"/>
            </w:tcBorders>
            <w:vAlign w:val="center"/>
          </w:tcPr>
          <w:p w14:paraId="522FD9F1">
            <w:pPr>
              <w:spacing w:line="360" w:lineRule="auto"/>
              <w:jc w:val="center"/>
              <w:rPr>
                <w:rFonts w:ascii="宋体" w:hAnsi="宋体"/>
                <w:color w:val="auto"/>
                <w:szCs w:val="21"/>
              </w:rPr>
            </w:pPr>
            <w:r>
              <w:rPr>
                <w:rFonts w:hint="eastAsia" w:ascii="宋体" w:hAnsi="宋体"/>
                <w:color w:val="auto"/>
                <w:szCs w:val="21"/>
              </w:rPr>
              <w:t>重大节假日前巡检</w:t>
            </w:r>
          </w:p>
        </w:tc>
        <w:tc>
          <w:tcPr>
            <w:tcW w:w="4947" w:type="dxa"/>
            <w:tcBorders>
              <w:top w:val="single" w:color="auto" w:sz="4" w:space="0"/>
              <w:left w:val="single" w:color="auto" w:sz="4" w:space="0"/>
              <w:bottom w:val="single" w:color="auto" w:sz="4" w:space="0"/>
              <w:right w:val="single" w:color="auto" w:sz="4" w:space="0"/>
            </w:tcBorders>
            <w:vAlign w:val="center"/>
          </w:tcPr>
          <w:p w14:paraId="10C8D28A">
            <w:pPr>
              <w:spacing w:line="360" w:lineRule="auto"/>
              <w:jc w:val="center"/>
              <w:rPr>
                <w:rFonts w:ascii="宋体" w:hAnsi="宋体"/>
                <w:color w:val="auto"/>
                <w:szCs w:val="21"/>
              </w:rPr>
            </w:pPr>
            <w:r>
              <w:rPr>
                <w:rFonts w:ascii="宋体" w:hAnsi="宋体"/>
                <w:color w:val="auto"/>
                <w:szCs w:val="21"/>
              </w:rPr>
              <w:t>遇到重大节假日或活动(如：春节、两会、五一、十一等)时，我司将根据用户的需求</w:t>
            </w:r>
            <w:r>
              <w:rPr>
                <w:rFonts w:hint="eastAsia" w:ascii="宋体" w:hAnsi="宋体"/>
                <w:color w:val="auto"/>
                <w:szCs w:val="21"/>
              </w:rPr>
              <w:t>做好节前巡检工作</w:t>
            </w:r>
            <w:r>
              <w:rPr>
                <w:rFonts w:ascii="宋体" w:hAnsi="宋体"/>
                <w:color w:val="auto"/>
                <w:szCs w:val="21"/>
              </w:rPr>
              <w:t>，</w:t>
            </w:r>
            <w:r>
              <w:rPr>
                <w:rFonts w:hint="eastAsia" w:ascii="宋体" w:hAnsi="宋体"/>
                <w:color w:val="auto"/>
                <w:szCs w:val="21"/>
              </w:rPr>
              <w:t>并</w:t>
            </w:r>
            <w:r>
              <w:rPr>
                <w:rFonts w:ascii="宋体" w:hAnsi="宋体"/>
                <w:color w:val="auto"/>
                <w:szCs w:val="21"/>
              </w:rPr>
              <w:t>安排专人在此段时间进行业务系统的技术支持服务。</w:t>
            </w:r>
            <w:r>
              <w:rPr>
                <w:rFonts w:ascii="宋体" w:hAnsi="宋体"/>
                <w:color w:val="auto"/>
                <w:szCs w:val="21"/>
              </w:rPr>
              <w:br w:type="textWrapping"/>
            </w:r>
            <w:r>
              <w:rPr>
                <w:rFonts w:ascii="宋体" w:hAnsi="宋体"/>
                <w:color w:val="auto"/>
                <w:szCs w:val="21"/>
              </w:rPr>
              <w:t>服务方式：电话值守，或现场值守，并配备工程师。</w:t>
            </w:r>
            <w:r>
              <w:rPr>
                <w:rFonts w:ascii="宋体" w:hAnsi="宋体"/>
                <w:color w:val="auto"/>
                <w:szCs w:val="21"/>
              </w:rPr>
              <w:br w:type="textWrapping"/>
            </w:r>
            <w:r>
              <w:rPr>
                <w:rFonts w:ascii="宋体" w:hAnsi="宋体"/>
                <w:color w:val="auto"/>
                <w:szCs w:val="21"/>
              </w:rPr>
              <w:t>响应时间：7*24小时</w:t>
            </w:r>
          </w:p>
        </w:tc>
      </w:tr>
      <w:tr w14:paraId="3E9B9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3" w:hRule="atLeast"/>
          <w:jc w:val="center"/>
        </w:trPr>
        <w:tc>
          <w:tcPr>
            <w:tcW w:w="3575" w:type="dxa"/>
            <w:tcBorders>
              <w:top w:val="single" w:color="auto" w:sz="4" w:space="0"/>
              <w:left w:val="single" w:color="auto" w:sz="4" w:space="0"/>
              <w:bottom w:val="single" w:color="auto" w:sz="4" w:space="0"/>
              <w:right w:val="single" w:color="auto" w:sz="4" w:space="0"/>
            </w:tcBorders>
            <w:vAlign w:val="center"/>
          </w:tcPr>
          <w:p w14:paraId="2AD2EC6F">
            <w:pPr>
              <w:spacing w:line="360" w:lineRule="auto"/>
              <w:jc w:val="center"/>
              <w:rPr>
                <w:rFonts w:ascii="宋体" w:hAnsi="宋体"/>
                <w:color w:val="auto"/>
                <w:szCs w:val="21"/>
              </w:rPr>
            </w:pPr>
            <w:r>
              <w:rPr>
                <w:rFonts w:hint="eastAsia" w:ascii="宋体" w:hAnsi="宋体"/>
                <w:color w:val="auto"/>
                <w:szCs w:val="21"/>
              </w:rPr>
              <w:t>数据库分库及迁移服务</w:t>
            </w:r>
          </w:p>
        </w:tc>
        <w:tc>
          <w:tcPr>
            <w:tcW w:w="4947" w:type="dxa"/>
            <w:tcBorders>
              <w:top w:val="single" w:color="auto" w:sz="4" w:space="0"/>
              <w:left w:val="single" w:color="auto" w:sz="4" w:space="0"/>
              <w:bottom w:val="single" w:color="auto" w:sz="4" w:space="0"/>
              <w:right w:val="single" w:color="auto" w:sz="4" w:space="0"/>
            </w:tcBorders>
            <w:vAlign w:val="center"/>
          </w:tcPr>
          <w:p w14:paraId="78C527FA">
            <w:pPr>
              <w:spacing w:line="360" w:lineRule="auto"/>
              <w:jc w:val="center"/>
              <w:rPr>
                <w:rFonts w:ascii="宋体" w:hAnsi="宋体"/>
                <w:color w:val="auto"/>
                <w:szCs w:val="21"/>
              </w:rPr>
            </w:pPr>
            <w:r>
              <w:rPr>
                <w:rFonts w:hint="eastAsia" w:ascii="宋体" w:hAnsi="宋体"/>
                <w:color w:val="auto"/>
                <w:szCs w:val="21"/>
              </w:rPr>
              <w:t>维护商提供H</w:t>
            </w:r>
            <w:r>
              <w:rPr>
                <w:rFonts w:ascii="宋体" w:hAnsi="宋体"/>
                <w:color w:val="auto"/>
                <w:szCs w:val="21"/>
              </w:rPr>
              <w:t>IS</w:t>
            </w:r>
            <w:r>
              <w:rPr>
                <w:rFonts w:hint="eastAsia" w:ascii="宋体" w:hAnsi="宋体"/>
                <w:color w:val="auto"/>
                <w:szCs w:val="21"/>
              </w:rPr>
              <w:t>系统Oracle数据库分库及迁移服务，包括分库及迁移前的方案交流、制定，以及后续的实施工作。</w:t>
            </w:r>
          </w:p>
        </w:tc>
      </w:tr>
      <w:tr w14:paraId="4464C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3" w:hRule="atLeast"/>
          <w:jc w:val="center"/>
        </w:trPr>
        <w:tc>
          <w:tcPr>
            <w:tcW w:w="3575" w:type="dxa"/>
            <w:tcBorders>
              <w:top w:val="single" w:color="auto" w:sz="4" w:space="0"/>
              <w:left w:val="single" w:color="auto" w:sz="4" w:space="0"/>
              <w:bottom w:val="single" w:color="auto" w:sz="4" w:space="0"/>
              <w:right w:val="single" w:color="auto" w:sz="4" w:space="0"/>
            </w:tcBorders>
            <w:vAlign w:val="center"/>
          </w:tcPr>
          <w:p w14:paraId="156B883E">
            <w:pPr>
              <w:spacing w:line="360" w:lineRule="auto"/>
              <w:jc w:val="center"/>
              <w:rPr>
                <w:rFonts w:hint="default" w:ascii="宋体" w:hAnsi="宋体" w:eastAsia="宋体"/>
                <w:color w:val="auto"/>
                <w:szCs w:val="21"/>
                <w:lang w:val="en-US" w:eastAsia="zh-CN"/>
              </w:rPr>
            </w:pPr>
            <w:r>
              <w:rPr>
                <w:rFonts w:hint="eastAsia" w:ascii="宋体" w:hAnsi="宋体"/>
                <w:color w:val="auto"/>
                <w:szCs w:val="21"/>
                <w:lang w:val="en-US" w:eastAsia="zh-CN"/>
              </w:rPr>
              <w:t>数据库灾备及高可用部署</w:t>
            </w:r>
          </w:p>
        </w:tc>
        <w:tc>
          <w:tcPr>
            <w:tcW w:w="4947" w:type="dxa"/>
            <w:tcBorders>
              <w:top w:val="single" w:color="auto" w:sz="4" w:space="0"/>
              <w:left w:val="single" w:color="auto" w:sz="4" w:space="0"/>
              <w:bottom w:val="single" w:color="auto" w:sz="4" w:space="0"/>
              <w:right w:val="single" w:color="auto" w:sz="4" w:space="0"/>
            </w:tcBorders>
            <w:vAlign w:val="center"/>
          </w:tcPr>
          <w:p w14:paraId="4D1D2CFE">
            <w:pPr>
              <w:spacing w:line="360" w:lineRule="auto"/>
              <w:jc w:val="center"/>
              <w:rPr>
                <w:rFonts w:hint="default" w:ascii="宋体" w:hAnsi="宋体" w:eastAsia="宋体"/>
                <w:color w:val="auto"/>
                <w:szCs w:val="21"/>
                <w:lang w:val="en-US" w:eastAsia="zh-CN"/>
              </w:rPr>
            </w:pPr>
            <w:r>
              <w:rPr>
                <w:rFonts w:hint="eastAsia" w:ascii="宋体" w:hAnsi="宋体"/>
                <w:color w:val="auto"/>
                <w:szCs w:val="21"/>
                <w:lang w:val="en-US" w:eastAsia="zh-CN"/>
              </w:rPr>
              <w:t>维护商技术团队协助用户搭建包括且不限于Oracle、MySQL、SQL Server等数据库灾备及高可用环境。</w:t>
            </w:r>
          </w:p>
        </w:tc>
      </w:tr>
      <w:tr w14:paraId="5AE72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3" w:hRule="atLeast"/>
          <w:jc w:val="center"/>
        </w:trPr>
        <w:tc>
          <w:tcPr>
            <w:tcW w:w="3575" w:type="dxa"/>
            <w:tcBorders>
              <w:top w:val="single" w:color="auto" w:sz="4" w:space="0"/>
              <w:left w:val="single" w:color="auto" w:sz="4" w:space="0"/>
              <w:bottom w:val="single" w:color="auto" w:sz="4" w:space="0"/>
              <w:right w:val="single" w:color="auto" w:sz="4" w:space="0"/>
            </w:tcBorders>
            <w:vAlign w:val="center"/>
          </w:tcPr>
          <w:p w14:paraId="4F6ED049">
            <w:pPr>
              <w:spacing w:line="360" w:lineRule="auto"/>
              <w:jc w:val="center"/>
              <w:rPr>
                <w:rFonts w:ascii="宋体" w:hAnsi="宋体"/>
                <w:color w:val="auto"/>
                <w:szCs w:val="21"/>
              </w:rPr>
            </w:pPr>
            <w:r>
              <w:rPr>
                <w:rFonts w:hint="eastAsia" w:ascii="宋体" w:hAnsi="宋体"/>
                <w:color w:val="auto"/>
                <w:spacing w:val="20"/>
                <w:szCs w:val="21"/>
              </w:rPr>
              <w:t>信创数据库服务能力</w:t>
            </w:r>
          </w:p>
        </w:tc>
        <w:tc>
          <w:tcPr>
            <w:tcW w:w="4947" w:type="dxa"/>
            <w:tcBorders>
              <w:top w:val="single" w:color="auto" w:sz="4" w:space="0"/>
              <w:left w:val="single" w:color="auto" w:sz="4" w:space="0"/>
              <w:bottom w:val="single" w:color="auto" w:sz="4" w:space="0"/>
              <w:right w:val="single" w:color="auto" w:sz="4" w:space="0"/>
            </w:tcBorders>
            <w:vAlign w:val="center"/>
          </w:tcPr>
          <w:p w14:paraId="69396BBD">
            <w:pPr>
              <w:spacing w:line="360" w:lineRule="auto"/>
              <w:jc w:val="center"/>
              <w:rPr>
                <w:rFonts w:hint="default" w:ascii="宋体" w:hAnsi="宋体" w:eastAsia="宋体"/>
                <w:color w:val="auto"/>
                <w:szCs w:val="21"/>
                <w:lang w:val="en-US" w:eastAsia="zh-CN"/>
              </w:rPr>
            </w:pPr>
            <w:r>
              <w:rPr>
                <w:rFonts w:hint="eastAsia" w:ascii="宋体" w:hAnsi="宋体"/>
                <w:color w:val="auto"/>
                <w:spacing w:val="20"/>
                <w:szCs w:val="21"/>
              </w:rPr>
              <w:t>技术团队需拥有信创服务能力，服务期内为医院提供信创数据库</w:t>
            </w:r>
            <w:r>
              <w:rPr>
                <w:rFonts w:hint="eastAsia" w:ascii="宋体" w:hAnsi="宋体"/>
                <w:color w:val="auto"/>
                <w:spacing w:val="20"/>
                <w:szCs w:val="21"/>
                <w:lang w:val="en-US" w:eastAsia="zh-CN"/>
              </w:rPr>
              <w:t>海量数据库G100管理系统V2.2的</w:t>
            </w:r>
            <w:r>
              <w:rPr>
                <w:rFonts w:hint="eastAsia" w:ascii="宋体" w:hAnsi="宋体"/>
                <w:color w:val="auto"/>
                <w:spacing w:val="20"/>
                <w:szCs w:val="21"/>
              </w:rPr>
              <w:t>日常维护服务</w:t>
            </w:r>
            <w:r>
              <w:rPr>
                <w:rFonts w:hint="eastAsia" w:ascii="宋体" w:hAnsi="宋体"/>
                <w:color w:val="auto"/>
                <w:spacing w:val="20"/>
                <w:szCs w:val="21"/>
                <w:lang w:eastAsia="zh-CN"/>
              </w:rPr>
              <w:t>，</w:t>
            </w:r>
            <w:r>
              <w:rPr>
                <w:rFonts w:hint="eastAsia" w:ascii="宋体" w:hAnsi="宋体"/>
                <w:color w:val="auto"/>
                <w:spacing w:val="20"/>
                <w:szCs w:val="21"/>
                <w:lang w:val="en-US" w:eastAsia="zh-CN"/>
              </w:rPr>
              <w:t>需具备其数据库管理员认证证书。</w:t>
            </w:r>
          </w:p>
        </w:tc>
      </w:tr>
    </w:tbl>
    <w:p w14:paraId="29B8DC58">
      <w:pPr>
        <w:spacing w:line="360" w:lineRule="auto"/>
        <w:rPr>
          <w:rFonts w:ascii="宋体" w:hAnsi="宋体"/>
          <w:color w:val="auto"/>
          <w:szCs w:val="21"/>
        </w:rPr>
      </w:pPr>
    </w:p>
    <w:p w14:paraId="3A636C74">
      <w:pPr>
        <w:spacing w:line="360" w:lineRule="auto"/>
        <w:ind w:firstLine="316"/>
        <w:rPr>
          <w:color w:val="auto"/>
        </w:rPr>
      </w:pPr>
      <w:bookmarkStart w:id="1" w:name="_GoBack"/>
      <w:bookmarkEnd w:id="1"/>
    </w:p>
    <w:sectPr>
      <w:headerReference r:id="rId3" w:type="default"/>
      <w:footerReference r:id="rId4" w:type="default"/>
      <w:footerReference r:id="rId5"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A0574A">
    <w:pPr>
      <w:pStyle w:val="4"/>
      <w:framePr w:wrap="around" w:vAnchor="text" w:hAnchor="margin" w:xAlign="center" w:y="1"/>
      <w:rPr>
        <w:rStyle w:val="9"/>
      </w:rPr>
    </w:pPr>
    <w:r>
      <w:rPr>
        <w:rStyle w:val="9"/>
      </w:rPr>
      <w:fldChar w:fldCharType="begin"/>
    </w:r>
    <w:r>
      <w:rPr>
        <w:rStyle w:val="9"/>
      </w:rPr>
      <w:instrText xml:space="preserve">PAGE  </w:instrText>
    </w:r>
    <w:r>
      <w:rPr>
        <w:rStyle w:val="9"/>
      </w:rPr>
      <w:fldChar w:fldCharType="separate"/>
    </w:r>
    <w:r>
      <w:rPr>
        <w:rStyle w:val="9"/>
      </w:rPr>
      <w:t>2</w:t>
    </w:r>
    <w:r>
      <w:rPr>
        <w:rStyle w:val="9"/>
      </w:rPr>
      <w:fldChar w:fldCharType="end"/>
    </w:r>
  </w:p>
  <w:p w14:paraId="5E41904A">
    <w:pPr>
      <w:pStyle w:val="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ADE825">
    <w:pPr>
      <w:pStyle w:val="4"/>
      <w:framePr w:wrap="around" w:vAnchor="text" w:hAnchor="margin" w:xAlign="center" w:y="1"/>
      <w:rPr>
        <w:rStyle w:val="9"/>
      </w:rPr>
    </w:pPr>
    <w:r>
      <w:rPr>
        <w:rStyle w:val="9"/>
      </w:rPr>
      <w:fldChar w:fldCharType="begin"/>
    </w:r>
    <w:r>
      <w:rPr>
        <w:rStyle w:val="9"/>
      </w:rPr>
      <w:instrText xml:space="preserve">PAGE  </w:instrText>
    </w:r>
    <w:r>
      <w:rPr>
        <w:rStyle w:val="9"/>
      </w:rPr>
      <w:fldChar w:fldCharType="end"/>
    </w:r>
  </w:p>
  <w:p w14:paraId="2DAFBFDD">
    <w:pPr>
      <w:pStyle w:val="4"/>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35E348">
    <w:pPr>
      <w:pStyle w:val="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0B62CED"/>
    <w:multiLevelType w:val="multilevel"/>
    <w:tmpl w:val="20B62CED"/>
    <w:lvl w:ilvl="0" w:tentative="0">
      <w:start w:val="1"/>
      <w:numFmt w:val="decimal"/>
      <w:suff w:val="space"/>
      <w:lvlText w:val="%1"/>
      <w:lvlJc w:val="left"/>
      <w:pPr>
        <w:ind w:left="425" w:hanging="425"/>
      </w:pPr>
      <w:rPr>
        <w:rFonts w:hint="eastAsia" w:eastAsia="宋体"/>
        <w:b w:val="0"/>
        <w:i w:val="0"/>
      </w:rPr>
    </w:lvl>
    <w:lvl w:ilvl="1" w:tentative="0">
      <w:start w:val="1"/>
      <w:numFmt w:val="decimal"/>
      <w:suff w:val="space"/>
      <w:lvlText w:val="%1.%2"/>
      <w:lvlJc w:val="left"/>
      <w:pPr>
        <w:ind w:left="992" w:hanging="879"/>
      </w:pPr>
      <w:rPr>
        <w:rFonts w:hint="eastAsia" w:eastAsia="宋体"/>
        <w:b w:val="0"/>
        <w:i w:val="0"/>
      </w:rPr>
    </w:lvl>
    <w:lvl w:ilvl="2" w:tentative="0">
      <w:start w:val="1"/>
      <w:numFmt w:val="decimal"/>
      <w:pStyle w:val="21"/>
      <w:suff w:val="space"/>
      <w:lvlText w:val="%1.%2.%3"/>
      <w:lvlJc w:val="left"/>
      <w:pPr>
        <w:ind w:left="1418" w:hanging="1134"/>
      </w:pPr>
      <w:rPr>
        <w:rFonts w:hint="eastAsia" w:eastAsia="宋体"/>
        <w:b w:val="0"/>
        <w:i w:val="0"/>
      </w:rPr>
    </w:lvl>
    <w:lvl w:ilvl="3" w:tentative="0">
      <w:start w:val="1"/>
      <w:numFmt w:val="decimal"/>
      <w:suff w:val="space"/>
      <w:lvlText w:val="%1.%2.%3.%4"/>
      <w:lvlJc w:val="left"/>
      <w:pPr>
        <w:ind w:left="1984" w:hanging="1417"/>
      </w:pPr>
      <w:rPr>
        <w:rFonts w:hint="eastAsia" w:eastAsia="宋体"/>
        <w:b w:val="0"/>
        <w:bCs w:val="0"/>
        <w:i w:val="0"/>
      </w:rPr>
    </w:lvl>
    <w:lvl w:ilvl="4" w:tentative="0">
      <w:start w:val="1"/>
      <w:numFmt w:val="decimal"/>
      <w:suff w:val="space"/>
      <w:lvlText w:val="%1.%2.%3.%4.%5"/>
      <w:lvlJc w:val="left"/>
      <w:pPr>
        <w:ind w:left="2551" w:hanging="1871"/>
      </w:pPr>
      <w:rPr>
        <w:rFonts w:hint="eastAsia" w:eastAsia="宋体"/>
        <w:b w:val="0"/>
        <w:bCs w:val="0"/>
        <w:i w:val="0"/>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rsids>
    <w:rsidRoot w:val="00B77BF8"/>
    <w:rsid w:val="00005FC5"/>
    <w:rsid w:val="000678CA"/>
    <w:rsid w:val="00076633"/>
    <w:rsid w:val="000C48CF"/>
    <w:rsid w:val="000C6D26"/>
    <w:rsid w:val="00102A49"/>
    <w:rsid w:val="00106166"/>
    <w:rsid w:val="001563E4"/>
    <w:rsid w:val="001819A5"/>
    <w:rsid w:val="001A3F2D"/>
    <w:rsid w:val="00203CD3"/>
    <w:rsid w:val="002353D5"/>
    <w:rsid w:val="00246DD8"/>
    <w:rsid w:val="002656E7"/>
    <w:rsid w:val="00285A5B"/>
    <w:rsid w:val="002A655E"/>
    <w:rsid w:val="002A73AC"/>
    <w:rsid w:val="003016C4"/>
    <w:rsid w:val="00330250"/>
    <w:rsid w:val="0038304B"/>
    <w:rsid w:val="003B2453"/>
    <w:rsid w:val="003B620D"/>
    <w:rsid w:val="003F01DC"/>
    <w:rsid w:val="003F7C54"/>
    <w:rsid w:val="00416D41"/>
    <w:rsid w:val="00433F5F"/>
    <w:rsid w:val="0044186B"/>
    <w:rsid w:val="00446D54"/>
    <w:rsid w:val="0049172E"/>
    <w:rsid w:val="004B0F7C"/>
    <w:rsid w:val="005525D4"/>
    <w:rsid w:val="00564BD9"/>
    <w:rsid w:val="00595B5C"/>
    <w:rsid w:val="005E73C4"/>
    <w:rsid w:val="005E76CE"/>
    <w:rsid w:val="006031FF"/>
    <w:rsid w:val="00645FA3"/>
    <w:rsid w:val="00692375"/>
    <w:rsid w:val="00766BDD"/>
    <w:rsid w:val="007B508A"/>
    <w:rsid w:val="007E28F3"/>
    <w:rsid w:val="007F280E"/>
    <w:rsid w:val="00836A34"/>
    <w:rsid w:val="00891909"/>
    <w:rsid w:val="00897D82"/>
    <w:rsid w:val="008E35E5"/>
    <w:rsid w:val="0090308C"/>
    <w:rsid w:val="009330F1"/>
    <w:rsid w:val="0095396E"/>
    <w:rsid w:val="00962106"/>
    <w:rsid w:val="009878CE"/>
    <w:rsid w:val="009C159E"/>
    <w:rsid w:val="00A0612B"/>
    <w:rsid w:val="00A36BFC"/>
    <w:rsid w:val="00A40BA2"/>
    <w:rsid w:val="00A50AE7"/>
    <w:rsid w:val="00A67299"/>
    <w:rsid w:val="00A9415A"/>
    <w:rsid w:val="00AB6FAA"/>
    <w:rsid w:val="00AD0F9F"/>
    <w:rsid w:val="00B77BF8"/>
    <w:rsid w:val="00B82CBD"/>
    <w:rsid w:val="00BE7576"/>
    <w:rsid w:val="00BF4A85"/>
    <w:rsid w:val="00C7711D"/>
    <w:rsid w:val="00C84963"/>
    <w:rsid w:val="00CA2307"/>
    <w:rsid w:val="00CD1168"/>
    <w:rsid w:val="00CD1AA8"/>
    <w:rsid w:val="00D25E33"/>
    <w:rsid w:val="00D37F79"/>
    <w:rsid w:val="00D511D0"/>
    <w:rsid w:val="00D6302A"/>
    <w:rsid w:val="00DC65A0"/>
    <w:rsid w:val="00E04835"/>
    <w:rsid w:val="00E353CF"/>
    <w:rsid w:val="00E442E7"/>
    <w:rsid w:val="00E651FA"/>
    <w:rsid w:val="00EA5383"/>
    <w:rsid w:val="00ED6837"/>
    <w:rsid w:val="01203A4E"/>
    <w:rsid w:val="02497534"/>
    <w:rsid w:val="05FE70E6"/>
    <w:rsid w:val="07140111"/>
    <w:rsid w:val="0BBA6DAD"/>
    <w:rsid w:val="0FAC4C5F"/>
    <w:rsid w:val="116F4196"/>
    <w:rsid w:val="14BE16BC"/>
    <w:rsid w:val="17575DF8"/>
    <w:rsid w:val="184C3483"/>
    <w:rsid w:val="1AE9320B"/>
    <w:rsid w:val="1D4A0F28"/>
    <w:rsid w:val="1D6B43AB"/>
    <w:rsid w:val="1FB65DB1"/>
    <w:rsid w:val="205435F4"/>
    <w:rsid w:val="21815F4B"/>
    <w:rsid w:val="24295FFD"/>
    <w:rsid w:val="27B16E5E"/>
    <w:rsid w:val="2A8E16D9"/>
    <w:rsid w:val="2BB71FB5"/>
    <w:rsid w:val="2D7E5A35"/>
    <w:rsid w:val="2D834DF9"/>
    <w:rsid w:val="30295295"/>
    <w:rsid w:val="30586A11"/>
    <w:rsid w:val="31010E56"/>
    <w:rsid w:val="313B4368"/>
    <w:rsid w:val="3DB57251"/>
    <w:rsid w:val="3DD31485"/>
    <w:rsid w:val="3F406859"/>
    <w:rsid w:val="419453CF"/>
    <w:rsid w:val="4537679D"/>
    <w:rsid w:val="45D1274E"/>
    <w:rsid w:val="460C19D8"/>
    <w:rsid w:val="4B3774F7"/>
    <w:rsid w:val="4B5C0D0B"/>
    <w:rsid w:val="4C771B75"/>
    <w:rsid w:val="4F8321BA"/>
    <w:rsid w:val="52D675F5"/>
    <w:rsid w:val="55436A98"/>
    <w:rsid w:val="5730129E"/>
    <w:rsid w:val="577613A7"/>
    <w:rsid w:val="58BA52C3"/>
    <w:rsid w:val="58DE5456"/>
    <w:rsid w:val="5D8A5B89"/>
    <w:rsid w:val="618943CD"/>
    <w:rsid w:val="62EF5B9D"/>
    <w:rsid w:val="63DF2082"/>
    <w:rsid w:val="64A86918"/>
    <w:rsid w:val="67136C12"/>
    <w:rsid w:val="67722DDE"/>
    <w:rsid w:val="6D512242"/>
    <w:rsid w:val="6F3B4F58"/>
    <w:rsid w:val="75640639"/>
    <w:rsid w:val="767B0330"/>
    <w:rsid w:val="76B13D52"/>
    <w:rsid w:val="76D417EE"/>
    <w:rsid w:val="78067649"/>
    <w:rsid w:val="78866B18"/>
    <w:rsid w:val="7B0D4A62"/>
    <w:rsid w:val="7BE81FC4"/>
    <w:rsid w:val="7EDE36F4"/>
  </w:rsids>
  <m:mathPr>
    <m:mathFont m:val="Cambria Math"/>
    <m:brkBin m:val="before"/>
    <m:brkBinSub m:val="--"/>
    <m:smallFrac m:val="1"/>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0" w:semiHidden="0" w:name="Normal Indent"/>
    <w:lsdException w:uiPriority="99"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unhideWhenUsed/>
    <w:qFormat/>
    <w:uiPriority w:val="0"/>
    <w:pPr>
      <w:keepNext/>
      <w:keepLines/>
      <w:spacing w:before="260" w:after="260" w:line="416" w:lineRule="auto"/>
      <w:outlineLvl w:val="2"/>
    </w:pPr>
    <w:rPr>
      <w:b/>
      <w:bCs/>
      <w:sz w:val="32"/>
      <w:szCs w:val="32"/>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Normal Indent"/>
    <w:basedOn w:val="1"/>
    <w:link w:val="19"/>
    <w:unhideWhenUsed/>
    <w:qFormat/>
    <w:uiPriority w:val="0"/>
    <w:pPr>
      <w:autoSpaceDE w:val="0"/>
      <w:autoSpaceDN w:val="0"/>
      <w:spacing w:line="360" w:lineRule="auto"/>
      <w:ind w:left="181" w:firstLine="420"/>
    </w:pPr>
    <w:rPr>
      <w:sz w:val="24"/>
      <w:szCs w:val="20"/>
    </w:rPr>
  </w:style>
  <w:style w:type="paragraph" w:styleId="4">
    <w:name w:val="footer"/>
    <w:basedOn w:val="1"/>
    <w:link w:val="12"/>
    <w:unhideWhenUsed/>
    <w:qFormat/>
    <w:uiPriority w:val="0"/>
    <w:pPr>
      <w:tabs>
        <w:tab w:val="center" w:pos="4153"/>
        <w:tab w:val="right" w:pos="8306"/>
      </w:tabs>
      <w:snapToGrid w:val="0"/>
      <w:jc w:val="left"/>
    </w:pPr>
    <w:rPr>
      <w:sz w:val="18"/>
      <w:szCs w:val="18"/>
    </w:rPr>
  </w:style>
  <w:style w:type="paragraph" w:styleId="5">
    <w:name w:val="header"/>
    <w:basedOn w:val="1"/>
    <w:link w:val="11"/>
    <w:unhideWhenUsed/>
    <w:qFormat/>
    <w:uiPriority w:val="0"/>
    <w:pPr>
      <w:pBdr>
        <w:bottom w:val="single" w:color="auto" w:sz="6" w:space="1"/>
      </w:pBdr>
      <w:tabs>
        <w:tab w:val="center" w:pos="4153"/>
        <w:tab w:val="right" w:pos="8306"/>
      </w:tabs>
      <w:snapToGrid w:val="0"/>
      <w:jc w:val="center"/>
    </w:pPr>
    <w:rPr>
      <w:sz w:val="18"/>
      <w:szCs w:val="18"/>
    </w:rPr>
  </w:style>
  <w:style w:type="paragraph" w:styleId="6">
    <w:name w:val="Title"/>
    <w:basedOn w:val="1"/>
    <w:link w:val="15"/>
    <w:qFormat/>
    <w:uiPriority w:val="0"/>
    <w:pPr>
      <w:pageBreakBefore/>
      <w:tabs>
        <w:tab w:val="left" w:pos="600"/>
        <w:tab w:val="left" w:pos="960"/>
        <w:tab w:val="left" w:pos="1080"/>
      </w:tabs>
      <w:overflowPunct w:val="0"/>
      <w:spacing w:before="240" w:after="60" w:line="360" w:lineRule="auto"/>
      <w:ind w:left="839" w:right="-357" w:firstLine="480"/>
      <w:jc w:val="center"/>
      <w:outlineLvl w:val="0"/>
    </w:pPr>
    <w:rPr>
      <w:rFonts w:ascii="Arial" w:hAnsi="Arial"/>
      <w:b/>
      <w:kern w:val="0"/>
      <w:sz w:val="36"/>
      <w:szCs w:val="20"/>
    </w:rPr>
  </w:style>
  <w:style w:type="character" w:styleId="9">
    <w:name w:val="page number"/>
    <w:basedOn w:val="8"/>
    <w:qFormat/>
    <w:uiPriority w:val="0"/>
  </w:style>
  <w:style w:type="character" w:styleId="10">
    <w:name w:val="Hyperlink"/>
    <w:basedOn w:val="8"/>
    <w:unhideWhenUsed/>
    <w:qFormat/>
    <w:uiPriority w:val="99"/>
    <w:rPr>
      <w:color w:val="0563C1" w:themeColor="hyperlink"/>
      <w:u w:val="single"/>
    </w:rPr>
  </w:style>
  <w:style w:type="character" w:customStyle="1" w:styleId="11">
    <w:name w:val="页眉 字符"/>
    <w:basedOn w:val="8"/>
    <w:link w:val="5"/>
    <w:qFormat/>
    <w:uiPriority w:val="99"/>
    <w:rPr>
      <w:sz w:val="18"/>
      <w:szCs w:val="18"/>
    </w:rPr>
  </w:style>
  <w:style w:type="character" w:customStyle="1" w:styleId="12">
    <w:name w:val="页脚 字符"/>
    <w:basedOn w:val="8"/>
    <w:link w:val="4"/>
    <w:qFormat/>
    <w:uiPriority w:val="99"/>
    <w:rPr>
      <w:sz w:val="18"/>
      <w:szCs w:val="18"/>
    </w:rPr>
  </w:style>
  <w:style w:type="paragraph" w:customStyle="1" w:styleId="13">
    <w:name w:val="标题1"/>
    <w:basedOn w:val="1"/>
    <w:qFormat/>
    <w:uiPriority w:val="0"/>
    <w:pPr>
      <w:widowControl/>
      <w:spacing w:line="360" w:lineRule="auto"/>
      <w:jc w:val="center"/>
    </w:pPr>
    <w:rPr>
      <w:rFonts w:ascii="黑体" w:eastAsia="黑体"/>
      <w:b/>
      <w:kern w:val="0"/>
      <w:sz w:val="44"/>
      <w:szCs w:val="20"/>
    </w:rPr>
  </w:style>
  <w:style w:type="paragraph" w:customStyle="1" w:styleId="14">
    <w:name w:val="列出段落1"/>
    <w:basedOn w:val="1"/>
    <w:qFormat/>
    <w:uiPriority w:val="0"/>
    <w:pPr>
      <w:widowControl/>
      <w:ind w:firstLine="420"/>
    </w:pPr>
    <w:rPr>
      <w:rFonts w:ascii="Calibri" w:hAnsi="Calibri" w:cs="Calibri"/>
      <w:kern w:val="0"/>
      <w:szCs w:val="21"/>
    </w:rPr>
  </w:style>
  <w:style w:type="character" w:customStyle="1" w:styleId="15">
    <w:name w:val="标题 字符"/>
    <w:basedOn w:val="8"/>
    <w:link w:val="6"/>
    <w:qFormat/>
    <w:uiPriority w:val="0"/>
    <w:rPr>
      <w:rFonts w:ascii="Arial" w:hAnsi="Arial" w:eastAsia="宋体" w:cs="Times New Roman"/>
      <w:b/>
      <w:kern w:val="0"/>
      <w:sz w:val="36"/>
      <w:szCs w:val="20"/>
    </w:rPr>
  </w:style>
  <w:style w:type="paragraph" w:styleId="16">
    <w:name w:val="List Paragraph"/>
    <w:basedOn w:val="1"/>
    <w:qFormat/>
    <w:uiPriority w:val="34"/>
    <w:pPr>
      <w:ind w:firstLine="420" w:firstLineChars="200"/>
    </w:pPr>
    <w:rPr>
      <w:rFonts w:asciiTheme="minorHAnsi" w:hAnsiTheme="minorHAnsi" w:eastAsiaTheme="minorEastAsia" w:cstheme="minorBidi"/>
      <w:szCs w:val="22"/>
    </w:rPr>
  </w:style>
  <w:style w:type="character" w:customStyle="1" w:styleId="17">
    <w:name w:val="0正文 Char Char"/>
    <w:link w:val="18"/>
    <w:qFormat/>
    <w:locked/>
    <w:uiPriority w:val="0"/>
    <w:rPr>
      <w:rFonts w:ascii="宋体" w:hAnsi="宋体"/>
      <w:szCs w:val="21"/>
    </w:rPr>
  </w:style>
  <w:style w:type="paragraph" w:customStyle="1" w:styleId="18">
    <w:name w:val="0正文"/>
    <w:basedOn w:val="1"/>
    <w:link w:val="17"/>
    <w:qFormat/>
    <w:uiPriority w:val="0"/>
    <w:pPr>
      <w:adjustRightInd w:val="0"/>
      <w:spacing w:line="360" w:lineRule="auto"/>
      <w:ind w:firstLine="420" w:firstLineChars="200"/>
    </w:pPr>
    <w:rPr>
      <w:rFonts w:ascii="宋体" w:hAnsi="宋体" w:eastAsiaTheme="minorEastAsia" w:cstheme="minorBidi"/>
      <w:szCs w:val="21"/>
    </w:rPr>
  </w:style>
  <w:style w:type="character" w:customStyle="1" w:styleId="19">
    <w:name w:val="正文缩进 字符"/>
    <w:link w:val="3"/>
    <w:qFormat/>
    <w:locked/>
    <w:uiPriority w:val="0"/>
    <w:rPr>
      <w:rFonts w:ascii="Times New Roman" w:hAnsi="Times New Roman" w:eastAsia="宋体" w:cs="Times New Roman"/>
      <w:sz w:val="24"/>
      <w:szCs w:val="20"/>
    </w:rPr>
  </w:style>
  <w:style w:type="character" w:customStyle="1" w:styleId="20">
    <w:name w:val="Unresolved Mention"/>
    <w:basedOn w:val="8"/>
    <w:semiHidden/>
    <w:unhideWhenUsed/>
    <w:qFormat/>
    <w:uiPriority w:val="99"/>
    <w:rPr>
      <w:color w:val="605E5C"/>
      <w:shd w:val="clear" w:color="auto" w:fill="E1DFDD"/>
    </w:rPr>
  </w:style>
  <w:style w:type="paragraph" w:customStyle="1" w:styleId="21">
    <w:name w:val="标题3"/>
    <w:basedOn w:val="2"/>
    <w:qFormat/>
    <w:uiPriority w:val="0"/>
    <w:pPr>
      <w:numPr>
        <w:ilvl w:val="2"/>
        <w:numId w:val="1"/>
      </w:numPr>
      <w:spacing w:before="240" w:after="240" w:line="360" w:lineRule="auto"/>
    </w:pPr>
  </w:style>
  <w:style w:type="paragraph" w:customStyle="1" w:styleId="22">
    <w:name w:val="缩进正文"/>
    <w:basedOn w:val="1"/>
    <w:qFormat/>
    <w:uiPriority w:val="0"/>
    <w:pPr>
      <w:ind w:firstLine="20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1290</Words>
  <Characters>1373</Characters>
  <Lines>25</Lines>
  <Paragraphs>7</Paragraphs>
  <TotalTime>2</TotalTime>
  <ScaleCrop>false</ScaleCrop>
  <LinksUpToDate>false</LinksUpToDate>
  <CharactersWithSpaces>1382</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2022-09-30T00:31:00Z</dcterms:created>
  <dc:creator>gysy</dc:creator>
  <cp:lastModifiedBy>daikewei_gzhmu</cp:lastModifiedBy>
  <dcterms:modified xsi:type="dcterms:W3CDTF">2025-08-01T07:11:31Z</dcterms:modified>
  <cp:revision>78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eyJoZGlkIjoiOWMwNDYxZGQxYjM3Zjk1NzlmMjU4YmZiZWEzNzdhNGUiLCJ1c2VySWQiOiIyNzcyNDM5MjUifQ==</vt:lpwstr>
  </property>
  <property fmtid="{D5CDD505-2E9C-101B-9397-08002B2CF9AE}" pid="3" name="KSOProductBuildVer">
    <vt:lpwstr>2052-12.1.0.21915</vt:lpwstr>
  </property>
  <property fmtid="{D5CDD505-2E9C-101B-9397-08002B2CF9AE}" pid="4" name="ICV">
    <vt:lpwstr>E8DA8753FE0649C68548D2EA625DC3E2_12</vt:lpwstr>
  </property>
</Properties>
</file>