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3EB39C">
      <w:pPr>
        <w:spacing w:before="63" w:line="360" w:lineRule="auto"/>
        <w:ind w:firstLine="420"/>
        <w:outlineLvl w:val="0"/>
      </w:pPr>
    </w:p>
    <w:p w14:paraId="3DB3281A">
      <w:pPr>
        <w:ind w:firstLine="280" w:firstLineChars="100"/>
        <w:jc w:val="center"/>
        <w:rPr>
          <w:b/>
          <w:sz w:val="28"/>
          <w:szCs w:val="28"/>
          <w:lang w:eastAsia="zh-CN"/>
        </w:rPr>
      </w:pPr>
      <w:r>
        <w:rPr>
          <w:rFonts w:hint="eastAsia"/>
          <w:b/>
          <w:sz w:val="28"/>
          <w:szCs w:val="28"/>
          <w:lang w:eastAsia="zh-CN"/>
        </w:rPr>
        <w:t>广州医科大学附属第三医院</w:t>
      </w:r>
    </w:p>
    <w:p w14:paraId="035C8269">
      <w:pPr>
        <w:ind w:firstLine="280" w:firstLineChars="100"/>
        <w:jc w:val="center"/>
        <w:rPr>
          <w:b/>
          <w:sz w:val="28"/>
          <w:szCs w:val="28"/>
          <w:lang w:eastAsia="zh-CN"/>
        </w:rPr>
      </w:pPr>
      <w:bookmarkStart w:id="3" w:name="_GoBack"/>
      <w:r>
        <w:rPr>
          <w:rFonts w:hint="eastAsia" w:eastAsia="等线"/>
          <w:b/>
          <w:sz w:val="28"/>
          <w:szCs w:val="28"/>
          <w:lang w:eastAsia="zh-CN"/>
        </w:rPr>
        <w:t>2025-2026</w:t>
      </w:r>
      <w:r>
        <w:rPr>
          <w:rFonts w:hint="eastAsia"/>
          <w:b/>
          <w:sz w:val="28"/>
          <w:szCs w:val="28"/>
          <w:lang w:eastAsia="zh-CN"/>
        </w:rPr>
        <w:t>年网络安全保障服务方案征集</w:t>
      </w:r>
      <w:bookmarkEnd w:id="3"/>
    </w:p>
    <w:p w14:paraId="25BAB175">
      <w:pPr>
        <w:pStyle w:val="2"/>
        <w:rPr>
          <w:lang w:eastAsia="zh-CN"/>
        </w:rPr>
      </w:pPr>
    </w:p>
    <w:p w14:paraId="5C6E9F59">
      <w:pPr>
        <w:pStyle w:val="5"/>
        <w:numPr>
          <w:ilvl w:val="0"/>
          <w:numId w:val="1"/>
        </w:numPr>
        <w:spacing w:line="240" w:lineRule="auto"/>
        <w:ind w:left="425" w:hanging="425"/>
        <w:jc w:val="both"/>
        <w:rPr>
          <w:rFonts w:hint="eastAsia" w:hAnsi="宋体" w:cs="宋体"/>
          <w:b/>
          <w:bCs/>
          <w:sz w:val="21"/>
          <w:szCs w:val="21"/>
          <w:lang w:val="en-US"/>
        </w:rPr>
      </w:pPr>
      <w:bookmarkStart w:id="0" w:name="_Toc16898"/>
      <w:bookmarkStart w:id="1" w:name="_Toc75033433"/>
      <w:r>
        <w:rPr>
          <w:rFonts w:hint="eastAsia" w:hAnsi="宋体" w:cs="宋体"/>
          <w:b/>
          <w:bCs/>
          <w:sz w:val="21"/>
          <w:szCs w:val="21"/>
          <w:lang w:val="en-US"/>
        </w:rPr>
        <w:t>项目概况</w:t>
      </w:r>
      <w:bookmarkEnd w:id="0"/>
      <w:bookmarkEnd w:id="1"/>
    </w:p>
    <w:p w14:paraId="6DC565B2">
      <w:pPr>
        <w:pStyle w:val="6"/>
        <w:ind w:firstLine="420" w:firstLineChars="200"/>
        <w:rPr>
          <w:rFonts w:hint="eastAsia" w:ascii="宋体" w:hAnsi="宋体" w:cs="宋体"/>
        </w:rPr>
      </w:pPr>
      <w:r>
        <w:rPr>
          <w:rFonts w:hint="eastAsia" w:ascii="宋体" w:hAnsi="宋体" w:cs="宋体"/>
          <w:color w:val="000000"/>
        </w:rPr>
        <w:t>根据《中华人民共和国网络安全法》、《中华人民共和国数据安全法》、《中华人民共和国个人信息保护法》、《关键信息基础设施安全保护条例》（中华人民共和国国务院令第745号）对信息安全等级保护以及数据安全的有关要求，</w:t>
      </w:r>
      <w:r>
        <w:rPr>
          <w:rFonts w:hint="eastAsia" w:ascii="宋体" w:hAnsi="宋体" w:cs="宋体"/>
        </w:rPr>
        <w:t>广州医科大学附属第三医院</w:t>
      </w:r>
      <w:r>
        <w:rPr>
          <w:rFonts w:hint="eastAsia" w:ascii="宋体" w:hAnsi="宋体" w:cs="宋体"/>
          <w:color w:val="000000"/>
        </w:rPr>
        <w:t>开始着手进行医院信息系统的等级保护和数据安全相关工作。</w:t>
      </w:r>
      <w:r>
        <w:rPr>
          <w:rFonts w:hint="eastAsia" w:ascii="宋体" w:hAnsi="宋体" w:cs="宋体"/>
        </w:rPr>
        <w:t>当前已按照等保2.0三级要求采购了多台网络安全设备，建立了基础安全保障框架和安全管理体系。</w:t>
      </w:r>
    </w:p>
    <w:p w14:paraId="659EAE74">
      <w:pPr>
        <w:pStyle w:val="6"/>
        <w:ind w:firstLine="420" w:firstLineChars="200"/>
        <w:rPr>
          <w:rFonts w:hint="eastAsia" w:ascii="宋体" w:hAnsi="宋体" w:cs="宋体"/>
        </w:rPr>
      </w:pPr>
      <w:r>
        <w:rPr>
          <w:rFonts w:hint="eastAsia" w:ascii="宋体" w:hAnsi="宋体" w:cs="宋体"/>
        </w:rPr>
        <w:t>本次安全服务采购项目的总体目标是针对广州医科大学附属第三医院网络落实安全等级保护测评、等保整改，建立网络安全运维服务体系、完善医院网络安全制度、重要系统数据安全评估，常态化监测与维护广州医科大学附属第三医院信息化系统和业务平台，以确保信息化系统和业务平台在有效工作时间的稳定运行，保障各业务系统数据的可用性、保密性和完整性，确保日常办公信息平台的稳定运行。</w:t>
      </w:r>
    </w:p>
    <w:p w14:paraId="2BB8B5A2">
      <w:pPr>
        <w:pStyle w:val="6"/>
        <w:ind w:firstLine="420" w:firstLineChars="200"/>
        <w:rPr>
          <w:rFonts w:hint="eastAsia" w:ascii="宋体" w:hAnsi="宋体" w:cs="宋体"/>
        </w:rPr>
      </w:pPr>
    </w:p>
    <w:p w14:paraId="5313F98A">
      <w:pPr>
        <w:pStyle w:val="5"/>
        <w:numPr>
          <w:ilvl w:val="0"/>
          <w:numId w:val="1"/>
        </w:numPr>
        <w:spacing w:line="240" w:lineRule="auto"/>
        <w:ind w:left="425" w:hanging="425"/>
        <w:jc w:val="both"/>
        <w:rPr>
          <w:rFonts w:hint="eastAsia" w:hAnsi="宋体" w:cs="宋体"/>
          <w:b/>
          <w:bCs/>
          <w:sz w:val="21"/>
          <w:szCs w:val="21"/>
          <w:lang w:val="en-US"/>
        </w:rPr>
      </w:pPr>
      <w:r>
        <w:rPr>
          <w:rFonts w:hint="eastAsia" w:hAnsi="宋体" w:cs="宋体"/>
          <w:b/>
          <w:bCs/>
          <w:sz w:val="21"/>
          <w:szCs w:val="21"/>
          <w:lang w:val="en-US"/>
        </w:rPr>
        <w:t>服务采购包含不限于以下内容</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0"/>
        <w:gridCol w:w="1385"/>
        <w:gridCol w:w="1276"/>
        <w:gridCol w:w="5182"/>
      </w:tblGrid>
      <w:tr w14:paraId="1F826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FFFFFF"/>
            <w:noWrap w:val="0"/>
            <w:tcMar>
              <w:top w:w="0" w:type="dxa"/>
              <w:left w:w="105" w:type="dxa"/>
              <w:bottom w:w="0" w:type="dxa"/>
              <w:right w:w="105" w:type="dxa"/>
            </w:tcMar>
            <w:vAlign w:val="center"/>
          </w:tcPr>
          <w:p w14:paraId="1F354249">
            <w:pPr>
              <w:rPr>
                <w:lang w:eastAsia="zh-CN"/>
              </w:rPr>
            </w:pPr>
            <w:r>
              <w:rPr>
                <w:rFonts w:hint="eastAsia"/>
                <w:lang w:eastAsia="zh-CN"/>
              </w:rPr>
              <w:t>序号</w:t>
            </w:r>
          </w:p>
        </w:tc>
        <w:tc>
          <w:tcPr>
            <w:tcW w:w="1385" w:type="dxa"/>
            <w:shd w:val="clear" w:color="auto" w:fill="FFFFFF"/>
            <w:noWrap w:val="0"/>
            <w:tcMar>
              <w:top w:w="0" w:type="dxa"/>
              <w:left w:w="105" w:type="dxa"/>
              <w:bottom w:w="0" w:type="dxa"/>
              <w:right w:w="105" w:type="dxa"/>
            </w:tcMar>
            <w:vAlign w:val="center"/>
          </w:tcPr>
          <w:p w14:paraId="6B6B940B">
            <w:pPr>
              <w:rPr>
                <w:lang w:eastAsia="zh-CN"/>
              </w:rPr>
            </w:pPr>
            <w:r>
              <w:rPr>
                <w:rFonts w:hint="eastAsia"/>
                <w:lang w:eastAsia="zh-CN"/>
              </w:rPr>
              <w:t>服务分项</w:t>
            </w:r>
          </w:p>
        </w:tc>
        <w:tc>
          <w:tcPr>
            <w:tcW w:w="1276" w:type="dxa"/>
            <w:shd w:val="clear" w:color="auto" w:fill="FFFFFF"/>
            <w:noWrap w:val="0"/>
            <w:tcMar>
              <w:top w:w="0" w:type="dxa"/>
              <w:left w:w="105" w:type="dxa"/>
              <w:bottom w:w="0" w:type="dxa"/>
              <w:right w:w="105" w:type="dxa"/>
            </w:tcMar>
            <w:vAlign w:val="center"/>
          </w:tcPr>
          <w:p w14:paraId="5E2A648C">
            <w:pPr>
              <w:rPr>
                <w:lang w:eastAsia="zh-CN"/>
              </w:rPr>
            </w:pPr>
            <w:r>
              <w:rPr>
                <w:rFonts w:hint="eastAsia"/>
                <w:lang w:eastAsia="zh-CN"/>
              </w:rPr>
              <w:t>数量／单位</w:t>
            </w:r>
          </w:p>
        </w:tc>
        <w:tc>
          <w:tcPr>
            <w:tcW w:w="5182" w:type="dxa"/>
            <w:shd w:val="clear" w:color="auto" w:fill="FFFFFF"/>
            <w:noWrap w:val="0"/>
            <w:tcMar>
              <w:top w:w="0" w:type="dxa"/>
              <w:left w:w="105" w:type="dxa"/>
              <w:bottom w:w="0" w:type="dxa"/>
              <w:right w:w="105" w:type="dxa"/>
            </w:tcMar>
            <w:vAlign w:val="center"/>
          </w:tcPr>
          <w:p w14:paraId="3F45610A">
            <w:pPr>
              <w:rPr>
                <w:lang w:eastAsia="zh-CN"/>
              </w:rPr>
            </w:pPr>
            <w:r>
              <w:rPr>
                <w:rFonts w:hint="eastAsia"/>
                <w:lang w:eastAsia="zh-CN"/>
              </w:rPr>
              <w:t>说明</w:t>
            </w:r>
          </w:p>
        </w:tc>
      </w:tr>
      <w:tr w14:paraId="42C4D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FFFFFF"/>
            <w:noWrap w:val="0"/>
            <w:tcMar>
              <w:top w:w="0" w:type="dxa"/>
              <w:left w:w="105" w:type="dxa"/>
              <w:bottom w:w="0" w:type="dxa"/>
              <w:right w:w="105" w:type="dxa"/>
            </w:tcMar>
            <w:vAlign w:val="center"/>
          </w:tcPr>
          <w:p w14:paraId="19268409">
            <w:pPr>
              <w:pStyle w:val="2"/>
              <w:spacing w:line="360" w:lineRule="auto"/>
              <w:rPr>
                <w:color w:val="000000"/>
                <w:lang w:eastAsia="zh-CN"/>
              </w:rPr>
            </w:pPr>
            <w:r>
              <w:rPr>
                <w:rFonts w:hint="eastAsia"/>
                <w:color w:val="000000"/>
                <w:lang w:eastAsia="zh-CN"/>
              </w:rPr>
              <w:t>1</w:t>
            </w:r>
          </w:p>
        </w:tc>
        <w:tc>
          <w:tcPr>
            <w:tcW w:w="1385" w:type="dxa"/>
            <w:shd w:val="clear" w:color="auto" w:fill="FFFFFF"/>
            <w:noWrap w:val="0"/>
            <w:tcMar>
              <w:top w:w="0" w:type="dxa"/>
              <w:left w:w="105" w:type="dxa"/>
              <w:bottom w:w="0" w:type="dxa"/>
              <w:right w:w="105" w:type="dxa"/>
            </w:tcMar>
            <w:vAlign w:val="center"/>
          </w:tcPr>
          <w:p w14:paraId="0490372C">
            <w:pPr>
              <w:rPr>
                <w:color w:val="000000"/>
                <w:lang w:eastAsia="zh-CN"/>
              </w:rPr>
            </w:pPr>
            <w:r>
              <w:rPr>
                <w:rFonts w:hint="eastAsia"/>
                <w:color w:val="000000"/>
                <w:lang w:eastAsia="zh-CN"/>
              </w:rPr>
              <w:t>两院区日常网络安全服务</w:t>
            </w:r>
          </w:p>
        </w:tc>
        <w:tc>
          <w:tcPr>
            <w:tcW w:w="1276" w:type="dxa"/>
            <w:shd w:val="clear" w:color="auto" w:fill="FFFFFF"/>
            <w:noWrap w:val="0"/>
            <w:tcMar>
              <w:top w:w="0" w:type="dxa"/>
              <w:left w:w="105" w:type="dxa"/>
              <w:bottom w:w="0" w:type="dxa"/>
              <w:right w:w="105" w:type="dxa"/>
            </w:tcMar>
            <w:vAlign w:val="center"/>
          </w:tcPr>
          <w:p w14:paraId="26413811">
            <w:pPr>
              <w:rPr>
                <w:color w:val="000000"/>
                <w:lang w:eastAsia="zh-CN"/>
              </w:rPr>
            </w:pPr>
            <w:r>
              <w:rPr>
                <w:rFonts w:hint="eastAsia"/>
                <w:color w:val="000000"/>
                <w:lang w:eastAsia="zh-CN"/>
              </w:rPr>
              <w:t>12个月</w:t>
            </w:r>
          </w:p>
        </w:tc>
        <w:tc>
          <w:tcPr>
            <w:tcW w:w="5182" w:type="dxa"/>
            <w:shd w:val="clear" w:color="auto" w:fill="FFFFFF"/>
            <w:noWrap w:val="0"/>
            <w:tcMar>
              <w:top w:w="0" w:type="dxa"/>
              <w:left w:w="105" w:type="dxa"/>
              <w:bottom w:w="0" w:type="dxa"/>
              <w:right w:w="105" w:type="dxa"/>
            </w:tcMar>
            <w:vAlign w:val="center"/>
          </w:tcPr>
          <w:p w14:paraId="28F2A6F6">
            <w:pPr>
              <w:rPr>
                <w:color w:val="000000"/>
                <w:lang w:eastAsia="zh-CN"/>
              </w:rPr>
            </w:pPr>
            <w:r>
              <w:rPr>
                <w:rFonts w:hint="eastAsia"/>
                <w:color w:val="000000"/>
                <w:lang w:eastAsia="zh-CN"/>
              </w:rPr>
              <w:t>包括但不限于资产梳理、漏洞检测、配置核查、渗透测试、WEB安全监测、病毒监测、安全评估、安全加固、</w:t>
            </w:r>
            <w:r>
              <w:rPr>
                <w:rFonts w:hint="eastAsia" w:ascii="宋体" w:hAnsi="宋体" w:eastAsia="宋体" w:cs="宋体"/>
                <w:color w:val="000000"/>
                <w:lang w:eastAsia="zh-CN"/>
              </w:rPr>
              <w:t>网站安全监测、</w:t>
            </w:r>
            <w:r>
              <w:rPr>
                <w:rFonts w:hint="eastAsia"/>
                <w:color w:val="000000"/>
                <w:lang w:eastAsia="zh-CN"/>
              </w:rPr>
              <w:t>网络安全制度建设、安全设备巡检、</w:t>
            </w:r>
            <w:bookmarkStart w:id="2" w:name="OLE_LINK2"/>
            <w:r>
              <w:rPr>
                <w:rFonts w:hint="eastAsia"/>
                <w:color w:val="000000"/>
                <w:lang w:eastAsia="zh-CN"/>
              </w:rPr>
              <w:t>API接口安全评估</w:t>
            </w:r>
            <w:bookmarkEnd w:id="2"/>
            <w:r>
              <w:rPr>
                <w:rFonts w:hint="eastAsia"/>
                <w:color w:val="000000"/>
                <w:lang w:eastAsia="zh-CN"/>
              </w:rPr>
              <w:t>、重保值守服务、安全应急响应、安全应急预案、安全培训等。</w:t>
            </w:r>
          </w:p>
        </w:tc>
      </w:tr>
      <w:tr w14:paraId="3E3F3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FFFFFF"/>
            <w:noWrap w:val="0"/>
            <w:tcMar>
              <w:top w:w="0" w:type="dxa"/>
              <w:left w:w="105" w:type="dxa"/>
              <w:bottom w:w="0" w:type="dxa"/>
              <w:right w:w="105" w:type="dxa"/>
            </w:tcMar>
            <w:vAlign w:val="center"/>
          </w:tcPr>
          <w:p w14:paraId="61772D5C">
            <w:pPr>
              <w:pStyle w:val="2"/>
              <w:spacing w:line="360" w:lineRule="auto"/>
              <w:rPr>
                <w:rFonts w:eastAsia="等线"/>
                <w:color w:val="000000"/>
                <w:lang w:eastAsia="zh-CN"/>
              </w:rPr>
            </w:pPr>
            <w:r>
              <w:rPr>
                <w:rFonts w:hint="eastAsia" w:eastAsia="等线"/>
                <w:color w:val="000000"/>
                <w:lang w:eastAsia="zh-CN"/>
              </w:rPr>
              <w:t>2</w:t>
            </w:r>
          </w:p>
        </w:tc>
        <w:tc>
          <w:tcPr>
            <w:tcW w:w="1385" w:type="dxa"/>
            <w:shd w:val="clear" w:color="auto" w:fill="FFFFFF"/>
            <w:noWrap w:val="0"/>
            <w:tcMar>
              <w:top w:w="0" w:type="dxa"/>
              <w:left w:w="105" w:type="dxa"/>
              <w:bottom w:w="0" w:type="dxa"/>
              <w:right w:w="105" w:type="dxa"/>
            </w:tcMar>
            <w:vAlign w:val="center"/>
          </w:tcPr>
          <w:p w14:paraId="675AAAAF">
            <w:pPr>
              <w:rPr>
                <w:color w:val="000000"/>
                <w:lang w:eastAsia="zh-CN"/>
              </w:rPr>
            </w:pPr>
            <w:r>
              <w:rPr>
                <w:rFonts w:hint="eastAsia"/>
                <w:color w:val="000000"/>
                <w:lang w:eastAsia="zh-CN"/>
              </w:rPr>
              <w:t>重要系统数据安全风险评估与渗透测试</w:t>
            </w:r>
          </w:p>
        </w:tc>
        <w:tc>
          <w:tcPr>
            <w:tcW w:w="1276" w:type="dxa"/>
            <w:shd w:val="clear" w:color="auto" w:fill="FFFFFF"/>
            <w:noWrap w:val="0"/>
            <w:tcMar>
              <w:top w:w="0" w:type="dxa"/>
              <w:left w:w="105" w:type="dxa"/>
              <w:bottom w:w="0" w:type="dxa"/>
              <w:right w:w="105" w:type="dxa"/>
            </w:tcMar>
            <w:vAlign w:val="center"/>
          </w:tcPr>
          <w:p w14:paraId="5AF2341E">
            <w:pPr>
              <w:rPr>
                <w:color w:val="000000"/>
                <w:lang w:eastAsia="zh-CN"/>
              </w:rPr>
            </w:pPr>
            <w:r>
              <w:rPr>
                <w:rFonts w:hint="eastAsia"/>
                <w:color w:val="000000"/>
                <w:lang w:eastAsia="zh-CN"/>
              </w:rPr>
              <w:t>12</w:t>
            </w:r>
            <w:r>
              <w:rPr>
                <w:rFonts w:hint="eastAsia" w:ascii="宋体" w:hAnsi="宋体" w:eastAsia="宋体" w:cs="宋体"/>
                <w:color w:val="000000"/>
                <w:lang w:eastAsia="zh-CN"/>
              </w:rPr>
              <w:t>个月</w:t>
            </w:r>
          </w:p>
        </w:tc>
        <w:tc>
          <w:tcPr>
            <w:tcW w:w="5182" w:type="dxa"/>
            <w:shd w:val="clear" w:color="auto" w:fill="FFFFFF"/>
            <w:noWrap w:val="0"/>
            <w:tcMar>
              <w:top w:w="0" w:type="dxa"/>
              <w:left w:w="105" w:type="dxa"/>
              <w:bottom w:w="0" w:type="dxa"/>
              <w:right w:w="105" w:type="dxa"/>
            </w:tcMar>
            <w:vAlign w:val="center"/>
          </w:tcPr>
          <w:p w14:paraId="1ECF2D59">
            <w:pPr>
              <w:rPr>
                <w:color w:val="000000"/>
                <w:lang w:eastAsia="zh-CN"/>
              </w:rPr>
            </w:pPr>
            <w:r>
              <w:rPr>
                <w:rFonts w:hint="eastAsia" w:eastAsia="等线"/>
                <w:lang w:eastAsia="zh-CN"/>
              </w:rPr>
              <w:t>配合甲方全面检查存储重要数据的对外业务系统，含存储大量的客户数据、个人信息数据、业务数据系统等，包括：微信小程序、公众号、</w:t>
            </w:r>
            <w:r>
              <w:rPr>
                <w:rFonts w:eastAsia="等线"/>
                <w:lang w:eastAsia="zh-CN"/>
              </w:rPr>
              <w:t>APP</w:t>
            </w:r>
            <w:r>
              <w:rPr>
                <w:rFonts w:hint="eastAsia" w:eastAsia="等线"/>
                <w:lang w:eastAsia="zh-CN"/>
              </w:rPr>
              <w:t>、网站系统等，且对以上系统</w:t>
            </w:r>
            <w:r>
              <w:rPr>
                <w:rFonts w:hint="eastAsia"/>
                <w:color w:val="000000"/>
                <w:lang w:eastAsia="zh-CN"/>
              </w:rPr>
              <w:t>基于业务逻辑评估数据泄露风险:重点发现可以导致数据泄露的业务逻辑洞，比如“数据接口未授权访问”、“越权访问漏洞”、“越权操作漏洞"、"数据遍历漏洞"等；</w:t>
            </w:r>
          </w:p>
          <w:p w14:paraId="266758EF">
            <w:pPr>
              <w:rPr>
                <w:color w:val="000000"/>
                <w:lang w:eastAsia="zh-CN"/>
              </w:rPr>
            </w:pPr>
            <w:r>
              <w:rPr>
                <w:rFonts w:hint="eastAsia"/>
                <w:color w:val="000000"/>
                <w:lang w:eastAsia="zh-CN"/>
              </w:rPr>
              <w:t>其它严重业务逻辑漏洞评估:支付业务逻辑漏洞(0元挂号、0元购物)、登录绕过业务逻辑漏洞、短信篡改与轰炸、文件上传绕过漏洞等；传统风险漏洞评估:比如SQL注入漏洞、反序列化漏洞、跨站脚本漏洞等。</w:t>
            </w:r>
          </w:p>
          <w:p w14:paraId="55CACF3E">
            <w:pPr>
              <w:rPr>
                <w:rFonts w:eastAsia="等线"/>
                <w:color w:val="000000"/>
                <w:lang w:eastAsia="zh-CN"/>
              </w:rPr>
            </w:pPr>
            <w:r>
              <w:rPr>
                <w:rFonts w:hint="eastAsia" w:ascii="宋体" w:hAnsi="宋体" w:eastAsia="宋体" w:cs="宋体"/>
                <w:color w:val="000000"/>
                <w:lang w:eastAsia="zh-CN"/>
              </w:rPr>
              <w:t>同时模拟黑客使用的漏洞发现技术和攻击手段，对目标主机</w:t>
            </w:r>
            <w:r>
              <w:rPr>
                <w:rFonts w:hint="eastAsia"/>
                <w:color w:val="000000"/>
                <w:lang w:eastAsia="zh-CN"/>
              </w:rPr>
              <w:t>/</w:t>
            </w:r>
            <w:r>
              <w:rPr>
                <w:rFonts w:hint="eastAsia" w:ascii="宋体" w:hAnsi="宋体" w:eastAsia="宋体" w:cs="宋体"/>
                <w:color w:val="000000"/>
                <w:lang w:eastAsia="zh-CN"/>
              </w:rPr>
              <w:t>应用系统的安全性作深入的探测，发现系统存在安全缺陷、漏洞等。</w:t>
            </w:r>
          </w:p>
        </w:tc>
      </w:tr>
      <w:tr w14:paraId="609B0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FFFFFF"/>
            <w:noWrap w:val="0"/>
            <w:tcMar>
              <w:top w:w="0" w:type="dxa"/>
              <w:left w:w="105" w:type="dxa"/>
              <w:bottom w:w="0" w:type="dxa"/>
              <w:right w:w="105" w:type="dxa"/>
            </w:tcMar>
            <w:vAlign w:val="center"/>
          </w:tcPr>
          <w:p w14:paraId="494C3EB3">
            <w:pPr>
              <w:pStyle w:val="2"/>
              <w:spacing w:line="360" w:lineRule="auto"/>
              <w:rPr>
                <w:rFonts w:eastAsia="等线"/>
                <w:lang w:eastAsia="zh-CN"/>
              </w:rPr>
            </w:pPr>
            <w:r>
              <w:rPr>
                <w:rFonts w:hint="eastAsia" w:eastAsia="等线"/>
                <w:lang w:eastAsia="zh-CN"/>
              </w:rPr>
              <w:t>3</w:t>
            </w:r>
          </w:p>
        </w:tc>
        <w:tc>
          <w:tcPr>
            <w:tcW w:w="1385" w:type="dxa"/>
            <w:shd w:val="clear" w:color="auto" w:fill="FFFFFF"/>
            <w:noWrap w:val="0"/>
            <w:tcMar>
              <w:top w:w="0" w:type="dxa"/>
              <w:left w:w="105" w:type="dxa"/>
              <w:bottom w:w="0" w:type="dxa"/>
              <w:right w:w="105" w:type="dxa"/>
            </w:tcMar>
            <w:vAlign w:val="center"/>
          </w:tcPr>
          <w:p w14:paraId="5E15A966">
            <w:pPr>
              <w:rPr>
                <w:lang w:eastAsia="zh-CN"/>
              </w:rPr>
            </w:pPr>
            <w:r>
              <w:rPr>
                <w:rFonts w:hint="eastAsia"/>
                <w:lang w:eastAsia="zh-CN"/>
              </w:rPr>
              <w:t>黄埔院区机房人员驻场服务</w:t>
            </w:r>
          </w:p>
        </w:tc>
        <w:tc>
          <w:tcPr>
            <w:tcW w:w="1276" w:type="dxa"/>
            <w:shd w:val="clear" w:color="auto" w:fill="FFFFFF"/>
            <w:noWrap w:val="0"/>
            <w:tcMar>
              <w:top w:w="0" w:type="dxa"/>
              <w:left w:w="105" w:type="dxa"/>
              <w:bottom w:w="0" w:type="dxa"/>
              <w:right w:w="105" w:type="dxa"/>
            </w:tcMar>
            <w:vAlign w:val="center"/>
          </w:tcPr>
          <w:p w14:paraId="0F293478">
            <w:pPr>
              <w:rPr>
                <w:lang w:eastAsia="zh-CN"/>
              </w:rPr>
            </w:pPr>
            <w:r>
              <w:rPr>
                <w:rFonts w:hint="eastAsia"/>
                <w:lang w:eastAsia="zh-CN"/>
              </w:rPr>
              <w:t>12个月</w:t>
            </w:r>
          </w:p>
        </w:tc>
        <w:tc>
          <w:tcPr>
            <w:tcW w:w="5182" w:type="dxa"/>
            <w:shd w:val="clear" w:color="auto" w:fill="FFFFFF"/>
            <w:noWrap w:val="0"/>
            <w:tcMar>
              <w:top w:w="0" w:type="dxa"/>
              <w:left w:w="105" w:type="dxa"/>
              <w:bottom w:w="0" w:type="dxa"/>
              <w:right w:w="105" w:type="dxa"/>
            </w:tcMar>
            <w:vAlign w:val="center"/>
          </w:tcPr>
          <w:p w14:paraId="0E928DEA">
            <w:pPr>
              <w:rPr>
                <w:lang w:eastAsia="zh-CN"/>
              </w:rPr>
            </w:pPr>
            <w:r>
              <w:rPr>
                <w:rFonts w:hint="eastAsia"/>
                <w:lang w:eastAsia="zh-CN"/>
              </w:rPr>
              <w:t>提供不少于1名安全人员驻场服务；并配备至少 3名备勤安全工程师，当出现紧急情况时，在 2 小时内到现场支撑。</w:t>
            </w:r>
          </w:p>
        </w:tc>
      </w:tr>
      <w:tr w14:paraId="17872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shd w:val="clear" w:color="auto" w:fill="FFFFFF"/>
            <w:noWrap w:val="0"/>
            <w:tcMar>
              <w:top w:w="0" w:type="dxa"/>
              <w:left w:w="105" w:type="dxa"/>
              <w:bottom w:w="0" w:type="dxa"/>
              <w:right w:w="105" w:type="dxa"/>
            </w:tcMar>
            <w:vAlign w:val="center"/>
          </w:tcPr>
          <w:p w14:paraId="376C0AE4">
            <w:pPr>
              <w:rPr>
                <w:rFonts w:eastAsia="等线"/>
                <w:lang w:eastAsia="zh-CN"/>
              </w:rPr>
            </w:pPr>
            <w:r>
              <w:rPr>
                <w:rFonts w:hint="eastAsia" w:eastAsia="等线"/>
                <w:lang w:eastAsia="zh-CN"/>
              </w:rPr>
              <w:t>4</w:t>
            </w:r>
          </w:p>
        </w:tc>
        <w:tc>
          <w:tcPr>
            <w:tcW w:w="1385" w:type="dxa"/>
            <w:shd w:val="clear" w:color="auto" w:fill="FFFFFF"/>
            <w:noWrap w:val="0"/>
            <w:tcMar>
              <w:top w:w="0" w:type="dxa"/>
              <w:left w:w="105" w:type="dxa"/>
              <w:bottom w:w="0" w:type="dxa"/>
              <w:right w:w="105" w:type="dxa"/>
            </w:tcMar>
            <w:vAlign w:val="center"/>
          </w:tcPr>
          <w:p w14:paraId="01EE229E">
            <w:pPr>
              <w:rPr>
                <w:lang w:eastAsia="zh-CN"/>
              </w:rPr>
            </w:pPr>
            <w:r>
              <w:rPr>
                <w:rFonts w:hint="eastAsia"/>
                <w:lang w:eastAsia="zh-CN"/>
              </w:rPr>
              <w:t>攻防演练防守服务</w:t>
            </w:r>
          </w:p>
        </w:tc>
        <w:tc>
          <w:tcPr>
            <w:tcW w:w="1276" w:type="dxa"/>
            <w:shd w:val="clear" w:color="auto" w:fill="FFFFFF"/>
            <w:noWrap w:val="0"/>
            <w:tcMar>
              <w:top w:w="0" w:type="dxa"/>
              <w:left w:w="105" w:type="dxa"/>
              <w:bottom w:w="0" w:type="dxa"/>
              <w:right w:w="105" w:type="dxa"/>
            </w:tcMar>
            <w:vAlign w:val="center"/>
          </w:tcPr>
          <w:p w14:paraId="62F88145">
            <w:pPr>
              <w:rPr>
                <w:lang w:eastAsia="zh-CN"/>
              </w:rPr>
            </w:pPr>
            <w:r>
              <w:rPr>
                <w:rFonts w:hint="eastAsia"/>
                <w:lang w:eastAsia="zh-CN"/>
              </w:rPr>
              <w:t>按需</w:t>
            </w:r>
          </w:p>
        </w:tc>
        <w:tc>
          <w:tcPr>
            <w:tcW w:w="5182" w:type="dxa"/>
            <w:shd w:val="clear" w:color="auto" w:fill="FFFFFF"/>
            <w:noWrap w:val="0"/>
            <w:tcMar>
              <w:top w:w="0" w:type="dxa"/>
              <w:left w:w="105" w:type="dxa"/>
              <w:bottom w:w="0" w:type="dxa"/>
              <w:right w:w="105" w:type="dxa"/>
            </w:tcMar>
            <w:vAlign w:val="center"/>
          </w:tcPr>
          <w:p w14:paraId="54BF2AC8">
            <w:pPr>
              <w:rPr>
                <w:lang w:eastAsia="zh-CN"/>
              </w:rPr>
            </w:pPr>
            <w:r>
              <w:rPr>
                <w:rFonts w:hint="eastAsia"/>
                <w:lang w:eastAsia="zh-CN"/>
              </w:rPr>
              <w:t>根据上级单位的攻防演练通知，在攻防演练期间安排专人1人现场24小时值守、同时配合2人远程24小时值守，运维值守人员通过人工分析或检查的方式，定期对网络设备、安全设备进行巡检，对系统运行过程中是否发生安全事件进行检查，并协助进行安全事件定位与原因分析。</w:t>
            </w:r>
          </w:p>
        </w:tc>
      </w:tr>
      <w:tr w14:paraId="5AB57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FFFFFF"/>
            <w:noWrap w:val="0"/>
            <w:tcMar>
              <w:top w:w="0" w:type="dxa"/>
              <w:left w:w="105" w:type="dxa"/>
              <w:bottom w:w="0" w:type="dxa"/>
              <w:right w:w="105" w:type="dxa"/>
            </w:tcMar>
            <w:vAlign w:val="center"/>
          </w:tcPr>
          <w:p w14:paraId="1945759C">
            <w:pPr>
              <w:pStyle w:val="2"/>
              <w:spacing w:line="360" w:lineRule="auto"/>
              <w:rPr>
                <w:rFonts w:eastAsia="等线"/>
                <w:lang w:eastAsia="zh-CN"/>
              </w:rPr>
            </w:pPr>
            <w:r>
              <w:rPr>
                <w:rFonts w:hint="eastAsia" w:eastAsia="等线"/>
                <w:lang w:eastAsia="zh-CN"/>
              </w:rPr>
              <w:t>5</w:t>
            </w:r>
          </w:p>
        </w:tc>
        <w:tc>
          <w:tcPr>
            <w:tcW w:w="1385" w:type="dxa"/>
            <w:shd w:val="clear" w:color="auto" w:fill="FFFFFF"/>
            <w:noWrap w:val="0"/>
            <w:tcMar>
              <w:top w:w="0" w:type="dxa"/>
              <w:left w:w="105" w:type="dxa"/>
              <w:bottom w:w="0" w:type="dxa"/>
              <w:right w:w="105" w:type="dxa"/>
            </w:tcMar>
            <w:vAlign w:val="center"/>
          </w:tcPr>
          <w:p w14:paraId="7994068F">
            <w:pPr>
              <w:rPr>
                <w:lang w:eastAsia="zh-CN"/>
              </w:rPr>
            </w:pPr>
            <w:r>
              <w:rPr>
                <w:rFonts w:hint="eastAsia"/>
                <w:lang w:eastAsia="zh-CN"/>
              </w:rPr>
              <w:t>网络安全等级保护测评服务（应用系统）</w:t>
            </w:r>
          </w:p>
        </w:tc>
        <w:tc>
          <w:tcPr>
            <w:tcW w:w="1276" w:type="dxa"/>
            <w:shd w:val="clear" w:color="auto" w:fill="FFFFFF"/>
            <w:noWrap w:val="0"/>
            <w:tcMar>
              <w:top w:w="0" w:type="dxa"/>
              <w:left w:w="105" w:type="dxa"/>
              <w:bottom w:w="0" w:type="dxa"/>
              <w:right w:w="105" w:type="dxa"/>
            </w:tcMar>
            <w:vAlign w:val="center"/>
          </w:tcPr>
          <w:p w14:paraId="7CC3BCC5">
            <w:pPr>
              <w:rPr>
                <w:color w:val="000000"/>
                <w:lang w:eastAsia="zh-CN"/>
              </w:rPr>
            </w:pPr>
            <w:r>
              <w:rPr>
                <w:rFonts w:hint="eastAsia" w:ascii="宋体" w:hAnsi="宋体" w:eastAsia="宋体" w:cs="宋体"/>
                <w:color w:val="000000"/>
                <w:lang w:eastAsia="zh-CN"/>
              </w:rPr>
              <w:t>年度</w:t>
            </w:r>
            <w:r>
              <w:rPr>
                <w:rFonts w:hint="eastAsia"/>
                <w:color w:val="000000"/>
                <w:lang w:eastAsia="zh-CN"/>
              </w:rPr>
              <w:t>等级保护三级系统的网络安全等级保护测评</w:t>
            </w:r>
          </w:p>
        </w:tc>
        <w:tc>
          <w:tcPr>
            <w:tcW w:w="5182" w:type="dxa"/>
            <w:shd w:val="clear" w:color="auto" w:fill="FFFFFF"/>
            <w:noWrap w:val="0"/>
            <w:tcMar>
              <w:top w:w="0" w:type="dxa"/>
              <w:left w:w="105" w:type="dxa"/>
              <w:bottom w:w="0" w:type="dxa"/>
              <w:right w:w="105" w:type="dxa"/>
            </w:tcMar>
            <w:vAlign w:val="center"/>
          </w:tcPr>
          <w:p w14:paraId="65F55673">
            <w:pPr>
              <w:rPr>
                <w:color w:val="000000"/>
                <w:lang w:eastAsia="zh-CN"/>
              </w:rPr>
            </w:pPr>
            <w:r>
              <w:rPr>
                <w:rFonts w:hint="eastAsia" w:ascii="宋体" w:hAnsi="宋体" w:eastAsia="宋体" w:cs="宋体"/>
                <w:color w:val="000000"/>
                <w:lang w:eastAsia="zh-CN"/>
              </w:rPr>
              <w:t>提供上年已经通过三级等保的系统进行每年度三级等保测评复测，</w:t>
            </w:r>
            <w:r>
              <w:rPr>
                <w:rFonts w:hint="eastAsia"/>
                <w:color w:val="000000"/>
                <w:lang w:eastAsia="zh-CN"/>
              </w:rPr>
              <w:t>以安全等级保护标准 GB/T 22239-2019《信息安全技术网络安全等级保护基本要求》为基础，邀请具有《网络安全等级保护测评机构推荐证书》的机构为甲方</w:t>
            </w:r>
            <w:r>
              <w:rPr>
                <w:rFonts w:hint="eastAsia" w:ascii="宋体" w:hAnsi="宋体" w:eastAsia="宋体" w:cs="宋体"/>
                <w:color w:val="000000"/>
                <w:lang w:eastAsia="zh-CN"/>
              </w:rPr>
              <w:t>开展等保测评工作。</w:t>
            </w:r>
          </w:p>
        </w:tc>
      </w:tr>
      <w:tr w14:paraId="3E00A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FFFFFF"/>
            <w:noWrap w:val="0"/>
            <w:tcMar>
              <w:top w:w="0" w:type="dxa"/>
              <w:left w:w="105" w:type="dxa"/>
              <w:bottom w:w="0" w:type="dxa"/>
              <w:right w:w="105" w:type="dxa"/>
            </w:tcMar>
            <w:vAlign w:val="center"/>
          </w:tcPr>
          <w:p w14:paraId="1A65F7CA">
            <w:pPr>
              <w:pStyle w:val="2"/>
              <w:spacing w:line="360" w:lineRule="auto"/>
              <w:rPr>
                <w:rFonts w:eastAsia="等线"/>
                <w:lang w:eastAsia="zh-CN"/>
              </w:rPr>
            </w:pPr>
            <w:r>
              <w:rPr>
                <w:rFonts w:hint="eastAsia" w:eastAsia="等线"/>
                <w:lang w:eastAsia="zh-CN"/>
              </w:rPr>
              <w:t>6</w:t>
            </w:r>
          </w:p>
        </w:tc>
        <w:tc>
          <w:tcPr>
            <w:tcW w:w="1385" w:type="dxa"/>
            <w:shd w:val="clear" w:color="auto" w:fill="FFFFFF"/>
            <w:noWrap w:val="0"/>
            <w:tcMar>
              <w:top w:w="0" w:type="dxa"/>
              <w:left w:w="105" w:type="dxa"/>
              <w:bottom w:w="0" w:type="dxa"/>
              <w:right w:w="105" w:type="dxa"/>
            </w:tcMar>
            <w:vAlign w:val="center"/>
          </w:tcPr>
          <w:p w14:paraId="2BFA629F">
            <w:pPr>
              <w:rPr>
                <w:lang w:eastAsia="zh-CN"/>
              </w:rPr>
            </w:pPr>
            <w:r>
              <w:rPr>
                <w:rFonts w:hint="eastAsia"/>
                <w:lang w:eastAsia="zh-CN"/>
              </w:rPr>
              <w:t>网络安全等级整改服务</w:t>
            </w:r>
          </w:p>
        </w:tc>
        <w:tc>
          <w:tcPr>
            <w:tcW w:w="1276" w:type="dxa"/>
            <w:shd w:val="clear" w:color="auto" w:fill="FFFFFF"/>
            <w:noWrap w:val="0"/>
            <w:tcMar>
              <w:top w:w="0" w:type="dxa"/>
              <w:left w:w="105" w:type="dxa"/>
              <w:bottom w:w="0" w:type="dxa"/>
              <w:right w:w="105" w:type="dxa"/>
            </w:tcMar>
            <w:vAlign w:val="center"/>
          </w:tcPr>
          <w:p w14:paraId="55A92B67">
            <w:pPr>
              <w:rPr>
                <w:lang w:eastAsia="zh-CN"/>
              </w:rPr>
            </w:pPr>
            <w:r>
              <w:rPr>
                <w:rFonts w:hint="eastAsia"/>
                <w:lang w:eastAsia="zh-CN"/>
              </w:rPr>
              <w:t>12个月</w:t>
            </w:r>
          </w:p>
        </w:tc>
        <w:tc>
          <w:tcPr>
            <w:tcW w:w="5182" w:type="dxa"/>
            <w:shd w:val="clear" w:color="auto" w:fill="FFFFFF"/>
            <w:noWrap w:val="0"/>
            <w:tcMar>
              <w:top w:w="0" w:type="dxa"/>
              <w:left w:w="105" w:type="dxa"/>
              <w:bottom w:w="0" w:type="dxa"/>
              <w:right w:w="105" w:type="dxa"/>
            </w:tcMar>
            <w:vAlign w:val="center"/>
          </w:tcPr>
          <w:p w14:paraId="6316ACF4">
            <w:pPr>
              <w:rPr>
                <w:lang w:eastAsia="zh-CN"/>
              </w:rPr>
            </w:pPr>
            <w:r>
              <w:rPr>
                <w:rFonts w:hint="eastAsia"/>
                <w:lang w:eastAsia="zh-CN"/>
              </w:rPr>
              <w:t>根据测评机构提出的问题单，协助甲方完成技术、管理问题的整改，帮助甲方最终取得符合公安机关要求的信息系统安全等级保护测评报告。</w:t>
            </w:r>
          </w:p>
        </w:tc>
      </w:tr>
      <w:tr w14:paraId="66AAD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FFFFFF"/>
            <w:noWrap w:val="0"/>
            <w:tcMar>
              <w:top w:w="0" w:type="dxa"/>
              <w:left w:w="105" w:type="dxa"/>
              <w:bottom w:w="0" w:type="dxa"/>
              <w:right w:w="105" w:type="dxa"/>
            </w:tcMar>
            <w:vAlign w:val="center"/>
          </w:tcPr>
          <w:p w14:paraId="14EE3583">
            <w:pPr>
              <w:pStyle w:val="2"/>
              <w:spacing w:line="360" w:lineRule="auto"/>
              <w:rPr>
                <w:rFonts w:eastAsia="等线"/>
                <w:lang w:eastAsia="zh-CN"/>
              </w:rPr>
            </w:pPr>
            <w:r>
              <w:rPr>
                <w:rFonts w:hint="eastAsia" w:eastAsia="等线"/>
                <w:lang w:eastAsia="zh-CN"/>
              </w:rPr>
              <w:t>7</w:t>
            </w:r>
          </w:p>
        </w:tc>
        <w:tc>
          <w:tcPr>
            <w:tcW w:w="1385" w:type="dxa"/>
            <w:shd w:val="clear" w:color="auto" w:fill="FFFFFF"/>
            <w:noWrap w:val="0"/>
            <w:tcMar>
              <w:top w:w="0" w:type="dxa"/>
              <w:left w:w="105" w:type="dxa"/>
              <w:bottom w:w="0" w:type="dxa"/>
              <w:right w:w="105" w:type="dxa"/>
            </w:tcMar>
            <w:vAlign w:val="center"/>
          </w:tcPr>
          <w:p w14:paraId="563679A9">
            <w:pPr>
              <w:pStyle w:val="2"/>
              <w:spacing w:line="360" w:lineRule="auto"/>
              <w:rPr>
                <w:lang w:eastAsia="zh-CN"/>
              </w:rPr>
            </w:pPr>
            <w:r>
              <w:rPr>
                <w:rFonts w:hint="eastAsia" w:ascii="宋体" w:hAnsi="宋体" w:eastAsia="宋体" w:cs="宋体"/>
                <w:lang w:eastAsia="zh-CN"/>
              </w:rPr>
              <w:t>安全设备维保购买</w:t>
            </w:r>
          </w:p>
        </w:tc>
        <w:tc>
          <w:tcPr>
            <w:tcW w:w="1276" w:type="dxa"/>
            <w:shd w:val="clear" w:color="auto" w:fill="FFFFFF"/>
            <w:noWrap w:val="0"/>
            <w:tcMar>
              <w:top w:w="0" w:type="dxa"/>
              <w:left w:w="105" w:type="dxa"/>
              <w:bottom w:w="0" w:type="dxa"/>
              <w:right w:w="105" w:type="dxa"/>
            </w:tcMar>
            <w:vAlign w:val="center"/>
          </w:tcPr>
          <w:p w14:paraId="02A0F3DC">
            <w:pPr>
              <w:pStyle w:val="2"/>
              <w:spacing w:line="360" w:lineRule="auto"/>
              <w:rPr>
                <w:color w:val="000000"/>
                <w:lang w:eastAsia="zh-CN"/>
              </w:rPr>
            </w:pPr>
            <w:r>
              <w:rPr>
                <w:rFonts w:hint="eastAsia"/>
                <w:color w:val="000000"/>
                <w:lang w:eastAsia="zh-CN"/>
              </w:rPr>
              <w:t>12</w:t>
            </w:r>
            <w:r>
              <w:rPr>
                <w:rFonts w:hint="eastAsia" w:ascii="宋体" w:hAnsi="宋体" w:eastAsia="宋体" w:cs="宋体"/>
                <w:color w:val="000000"/>
                <w:lang w:eastAsia="zh-CN"/>
              </w:rPr>
              <w:t>个月</w:t>
            </w:r>
          </w:p>
        </w:tc>
        <w:tc>
          <w:tcPr>
            <w:tcW w:w="5182" w:type="dxa"/>
            <w:shd w:val="clear" w:color="auto" w:fill="FFFFFF"/>
            <w:noWrap w:val="0"/>
            <w:tcMar>
              <w:top w:w="0" w:type="dxa"/>
              <w:left w:w="105" w:type="dxa"/>
              <w:bottom w:w="0" w:type="dxa"/>
              <w:right w:w="105" w:type="dxa"/>
            </w:tcMar>
            <w:vAlign w:val="center"/>
          </w:tcPr>
          <w:p w14:paraId="394B2434">
            <w:pPr>
              <w:numPr>
                <w:ilvl w:val="0"/>
                <w:numId w:val="2"/>
              </w:numPr>
              <w:kinsoku/>
              <w:autoSpaceDE/>
              <w:autoSpaceDN/>
              <w:adjustRightInd/>
              <w:snapToGrid/>
              <w:spacing w:line="240" w:lineRule="atLeast"/>
              <w:jc w:val="both"/>
              <w:textAlignment w:val="auto"/>
              <w:rPr>
                <w:rFonts w:hint="eastAsia" w:ascii="宋体" w:hAnsi="宋体" w:eastAsia="宋体" w:cs="宋体"/>
                <w:color w:val="000000"/>
                <w:lang w:eastAsia="zh-CN"/>
              </w:rPr>
            </w:pPr>
            <w:r>
              <w:rPr>
                <w:rFonts w:hint="eastAsia" w:ascii="宋体" w:hAnsi="宋体" w:eastAsia="宋体" w:cs="宋体"/>
                <w:color w:val="000000"/>
                <w:lang w:eastAsia="zh-CN"/>
              </w:rPr>
              <w:t>黄埔院区100个点EDR服务器端延续维保一年。</w:t>
            </w:r>
          </w:p>
          <w:p w14:paraId="6F9A3368">
            <w:pPr>
              <w:numPr>
                <w:ilvl w:val="0"/>
                <w:numId w:val="2"/>
              </w:numPr>
              <w:kinsoku/>
              <w:autoSpaceDE/>
              <w:autoSpaceDN/>
              <w:adjustRightInd/>
              <w:snapToGrid/>
              <w:spacing w:line="240" w:lineRule="atLeast"/>
              <w:jc w:val="both"/>
              <w:textAlignment w:val="auto"/>
              <w:rPr>
                <w:rFonts w:hint="eastAsia" w:ascii="宋体" w:hAnsi="宋体" w:eastAsia="宋体" w:cs="宋体"/>
                <w:color w:val="000000"/>
                <w:lang w:eastAsia="zh-CN"/>
              </w:rPr>
            </w:pPr>
            <w:r>
              <w:rPr>
                <w:rFonts w:hint="eastAsia" w:ascii="宋体" w:hAnsi="宋体" w:eastAsia="宋体" w:cs="宋体"/>
                <w:color w:val="000000"/>
                <w:lang w:eastAsia="zh-CN"/>
              </w:rPr>
              <w:t>黄埔院区1000个点EDR电脑端延续维保一年。</w:t>
            </w:r>
          </w:p>
          <w:p w14:paraId="46484158">
            <w:pPr>
              <w:numPr>
                <w:ilvl w:val="0"/>
                <w:numId w:val="2"/>
              </w:numPr>
              <w:kinsoku/>
              <w:autoSpaceDE/>
              <w:autoSpaceDN/>
              <w:adjustRightInd/>
              <w:snapToGrid/>
              <w:spacing w:line="240" w:lineRule="atLeast"/>
              <w:jc w:val="both"/>
              <w:textAlignment w:val="auto"/>
              <w:rPr>
                <w:rFonts w:hint="eastAsia" w:ascii="宋体" w:hAnsi="宋体" w:eastAsia="宋体" w:cs="宋体"/>
                <w:color w:val="000000"/>
                <w:lang w:eastAsia="zh-CN"/>
              </w:rPr>
            </w:pPr>
            <w:r>
              <w:rPr>
                <w:rFonts w:hint="eastAsia" w:ascii="宋体" w:hAnsi="宋体" w:eastAsia="宋体" w:cs="宋体"/>
                <w:color w:val="000000"/>
                <w:lang w:eastAsia="zh-CN"/>
              </w:rPr>
              <w:t>黄埔院区两台APT设备延续维保一年。</w:t>
            </w:r>
          </w:p>
          <w:p w14:paraId="1D7597B4">
            <w:pPr>
              <w:numPr>
                <w:ilvl w:val="0"/>
                <w:numId w:val="2"/>
              </w:numPr>
              <w:kinsoku/>
              <w:autoSpaceDE/>
              <w:autoSpaceDN/>
              <w:adjustRightInd/>
              <w:snapToGrid/>
              <w:spacing w:line="240" w:lineRule="atLeast"/>
              <w:jc w:val="both"/>
              <w:textAlignment w:val="auto"/>
              <w:rPr>
                <w:rFonts w:hint="eastAsia" w:ascii="宋体" w:hAnsi="宋体" w:eastAsia="宋体" w:cs="宋体"/>
                <w:color w:val="000000"/>
                <w:lang w:eastAsia="zh-CN"/>
              </w:rPr>
            </w:pPr>
            <w:r>
              <w:rPr>
                <w:rFonts w:hint="eastAsia" w:ascii="宋体" w:hAnsi="宋体" w:eastAsia="宋体" w:cs="宋体"/>
                <w:color w:val="000000"/>
                <w:lang w:eastAsia="zh-CN"/>
              </w:rPr>
              <w:t>黄埔院区一台WAF延续维保一年。</w:t>
            </w:r>
          </w:p>
          <w:p w14:paraId="1C84694C">
            <w:pPr>
              <w:numPr>
                <w:ilvl w:val="0"/>
                <w:numId w:val="2"/>
              </w:numPr>
              <w:kinsoku/>
              <w:autoSpaceDE/>
              <w:autoSpaceDN/>
              <w:adjustRightInd/>
              <w:snapToGrid/>
              <w:spacing w:line="240" w:lineRule="atLeast"/>
              <w:jc w:val="both"/>
              <w:textAlignment w:val="auto"/>
              <w:rPr>
                <w:rFonts w:hint="eastAsia" w:ascii="宋体" w:hAnsi="宋体" w:eastAsia="宋体" w:cs="宋体"/>
                <w:color w:val="000000"/>
                <w:lang w:eastAsia="zh-CN"/>
              </w:rPr>
            </w:pPr>
            <w:r>
              <w:rPr>
                <w:rFonts w:hint="eastAsia" w:ascii="宋体" w:hAnsi="宋体" w:eastAsia="宋体" w:cs="宋体"/>
                <w:color w:val="000000"/>
                <w:lang w:eastAsia="zh-CN"/>
              </w:rPr>
              <w:t>黄埔院区一台外网防火墙特征库升级延续一年。</w:t>
            </w:r>
          </w:p>
          <w:p w14:paraId="12A357C7">
            <w:pPr>
              <w:numPr>
                <w:ilvl w:val="0"/>
                <w:numId w:val="2"/>
              </w:numPr>
              <w:kinsoku/>
              <w:autoSpaceDE/>
              <w:autoSpaceDN/>
              <w:adjustRightInd/>
              <w:snapToGrid/>
              <w:spacing w:line="240" w:lineRule="atLeast"/>
              <w:jc w:val="both"/>
              <w:textAlignment w:val="auto"/>
              <w:rPr>
                <w:rFonts w:hint="eastAsia" w:ascii="宋体" w:hAnsi="宋体" w:eastAsia="宋体" w:cs="宋体"/>
                <w:color w:val="000000"/>
                <w:lang w:eastAsia="zh-CN"/>
              </w:rPr>
            </w:pPr>
            <w:r>
              <w:rPr>
                <w:rFonts w:hint="eastAsia" w:ascii="宋体" w:hAnsi="宋体" w:eastAsia="宋体" w:cs="宋体"/>
                <w:color w:val="000000"/>
                <w:lang w:eastAsia="zh-CN"/>
              </w:rPr>
              <w:t>黄埔院区一台外网IPS特征库升级延续一年。</w:t>
            </w:r>
          </w:p>
          <w:p w14:paraId="1CF45941">
            <w:pPr>
              <w:numPr>
                <w:ilvl w:val="0"/>
                <w:numId w:val="2"/>
              </w:numPr>
              <w:kinsoku/>
              <w:autoSpaceDE/>
              <w:autoSpaceDN/>
              <w:adjustRightInd/>
              <w:snapToGrid/>
              <w:spacing w:line="240" w:lineRule="atLeast"/>
              <w:jc w:val="both"/>
              <w:textAlignment w:val="auto"/>
              <w:rPr>
                <w:rFonts w:hint="eastAsia" w:ascii="宋体" w:hAnsi="宋体" w:eastAsia="宋体" w:cs="宋体"/>
                <w:color w:val="000000"/>
                <w:lang w:eastAsia="zh-CN"/>
              </w:rPr>
            </w:pPr>
            <w:r>
              <w:rPr>
                <w:rFonts w:hint="eastAsia" w:ascii="宋体" w:hAnsi="宋体" w:eastAsia="宋体" w:cs="宋体"/>
                <w:color w:val="000000"/>
                <w:lang w:eastAsia="zh-CN"/>
              </w:rPr>
              <w:t>荔湾院区一台外网防火墙特征库升级延续一年。</w:t>
            </w:r>
          </w:p>
        </w:tc>
      </w:tr>
      <w:tr w14:paraId="798FE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FFFFFF"/>
            <w:noWrap w:val="0"/>
            <w:tcMar>
              <w:top w:w="0" w:type="dxa"/>
              <w:left w:w="105" w:type="dxa"/>
              <w:bottom w:w="0" w:type="dxa"/>
              <w:right w:w="105" w:type="dxa"/>
            </w:tcMar>
            <w:vAlign w:val="center"/>
          </w:tcPr>
          <w:p w14:paraId="56B9CEED">
            <w:pPr>
              <w:pStyle w:val="2"/>
              <w:spacing w:line="360" w:lineRule="auto"/>
              <w:rPr>
                <w:rFonts w:eastAsia="等线"/>
                <w:lang w:eastAsia="zh-CN"/>
              </w:rPr>
            </w:pPr>
            <w:r>
              <w:rPr>
                <w:rFonts w:hint="eastAsia" w:eastAsia="等线"/>
                <w:lang w:eastAsia="zh-CN"/>
              </w:rPr>
              <w:t>8</w:t>
            </w:r>
          </w:p>
        </w:tc>
        <w:tc>
          <w:tcPr>
            <w:tcW w:w="1385" w:type="dxa"/>
            <w:shd w:val="clear" w:color="auto" w:fill="FFFFFF"/>
            <w:noWrap w:val="0"/>
            <w:tcMar>
              <w:top w:w="0" w:type="dxa"/>
              <w:left w:w="105" w:type="dxa"/>
              <w:bottom w:w="0" w:type="dxa"/>
              <w:right w:w="105" w:type="dxa"/>
            </w:tcMar>
            <w:vAlign w:val="center"/>
          </w:tcPr>
          <w:p w14:paraId="78BFA9BE">
            <w:pPr>
              <w:rPr>
                <w:lang w:eastAsia="zh-CN"/>
              </w:rPr>
            </w:pPr>
            <w:r>
              <w:rPr>
                <w:rFonts w:hint="eastAsia" w:ascii="宋体" w:hAnsi="宋体" w:eastAsia="宋体" w:cs="宋体"/>
                <w:lang w:eastAsia="zh-CN"/>
              </w:rPr>
              <w:t>网络安全辅助</w:t>
            </w:r>
            <w:r>
              <w:rPr>
                <w:rFonts w:hint="eastAsia"/>
                <w:lang w:eastAsia="zh-CN"/>
              </w:rPr>
              <w:t>工具租赁服务</w:t>
            </w:r>
          </w:p>
        </w:tc>
        <w:tc>
          <w:tcPr>
            <w:tcW w:w="1276" w:type="dxa"/>
            <w:shd w:val="clear" w:color="auto" w:fill="FFFFFF"/>
            <w:noWrap w:val="0"/>
            <w:tcMar>
              <w:top w:w="0" w:type="dxa"/>
              <w:left w:w="105" w:type="dxa"/>
              <w:bottom w:w="0" w:type="dxa"/>
              <w:right w:w="105" w:type="dxa"/>
            </w:tcMar>
            <w:vAlign w:val="center"/>
          </w:tcPr>
          <w:p w14:paraId="2B294768">
            <w:pPr>
              <w:rPr>
                <w:lang w:eastAsia="zh-CN"/>
              </w:rPr>
            </w:pPr>
            <w:r>
              <w:rPr>
                <w:rFonts w:hint="eastAsia"/>
                <w:lang w:eastAsia="zh-CN"/>
              </w:rPr>
              <w:t>12个月</w:t>
            </w:r>
          </w:p>
        </w:tc>
        <w:tc>
          <w:tcPr>
            <w:tcW w:w="5182" w:type="dxa"/>
            <w:shd w:val="clear" w:color="auto" w:fill="FFFFFF"/>
            <w:noWrap w:val="0"/>
            <w:tcMar>
              <w:top w:w="0" w:type="dxa"/>
              <w:left w:w="105" w:type="dxa"/>
              <w:bottom w:w="0" w:type="dxa"/>
              <w:right w:w="105" w:type="dxa"/>
            </w:tcMar>
            <w:vAlign w:val="center"/>
          </w:tcPr>
          <w:p w14:paraId="033A597F">
            <w:pPr>
              <w:pStyle w:val="7"/>
              <w:numPr>
                <w:ilvl w:val="0"/>
                <w:numId w:val="3"/>
              </w:numPr>
              <w:rPr>
                <w:lang w:eastAsia="zh-CN"/>
              </w:rPr>
            </w:pPr>
            <w:r>
              <w:rPr>
                <w:rFonts w:hint="eastAsia" w:ascii="宋体" w:hAnsi="宋体" w:eastAsia="宋体" w:cs="宋体"/>
                <w:lang w:eastAsia="zh-CN"/>
              </w:rPr>
              <w:t>攻击面与漏洞治理平台两套（黄埔及荔湾院区各部署一套）。</w:t>
            </w:r>
          </w:p>
          <w:p w14:paraId="5100FA3F">
            <w:pPr>
              <w:pStyle w:val="7"/>
              <w:numPr>
                <w:ilvl w:val="0"/>
                <w:numId w:val="3"/>
              </w:numPr>
              <w:rPr>
                <w:lang w:eastAsia="zh-CN"/>
              </w:rPr>
            </w:pPr>
            <w:r>
              <w:rPr>
                <w:rFonts w:hint="eastAsia" w:ascii="宋体" w:hAnsi="宋体" w:eastAsia="宋体" w:cs="宋体"/>
                <w:lang w:eastAsia="zh-CN"/>
              </w:rPr>
              <w:t>网络威胁追踪溯源系统两套（黄埔及荔湾院区各部署一套）。</w:t>
            </w:r>
          </w:p>
          <w:p w14:paraId="0F90F838">
            <w:pPr>
              <w:pStyle w:val="7"/>
              <w:numPr>
                <w:ilvl w:val="0"/>
                <w:numId w:val="3"/>
              </w:numPr>
              <w:rPr>
                <w:lang w:eastAsia="zh-CN"/>
              </w:rPr>
            </w:pPr>
            <w:r>
              <w:rPr>
                <w:rFonts w:hint="eastAsia" w:ascii="宋体" w:hAnsi="宋体" w:eastAsia="宋体" w:cs="宋体"/>
                <w:lang w:eastAsia="zh-CN"/>
              </w:rPr>
              <w:t>漏扫与蜜罐二合一探针一套。</w:t>
            </w:r>
          </w:p>
          <w:p w14:paraId="1D3339EF">
            <w:pPr>
              <w:pStyle w:val="7"/>
              <w:numPr>
                <w:ilvl w:val="0"/>
                <w:numId w:val="3"/>
              </w:numPr>
              <w:rPr>
                <w:lang w:eastAsia="zh-CN"/>
              </w:rPr>
            </w:pPr>
            <w:r>
              <w:rPr>
                <w:rFonts w:hint="eastAsia" w:ascii="宋体" w:hAnsi="宋体" w:eastAsia="宋体" w:cs="宋体"/>
                <w:lang w:eastAsia="zh-CN"/>
              </w:rPr>
              <w:t>下一代</w:t>
            </w:r>
            <w:r>
              <w:rPr>
                <w:rFonts w:hint="eastAsia"/>
                <w:lang w:eastAsia="zh-CN"/>
              </w:rPr>
              <w:t>Web</w:t>
            </w:r>
            <w:r>
              <w:rPr>
                <w:rFonts w:hint="eastAsia" w:ascii="宋体" w:hAnsi="宋体" w:eastAsia="宋体" w:cs="宋体"/>
                <w:lang w:eastAsia="zh-CN"/>
              </w:rPr>
              <w:t>应用防护工具（一套）。</w:t>
            </w:r>
          </w:p>
          <w:p w14:paraId="650DC2D3">
            <w:pPr>
              <w:pStyle w:val="7"/>
              <w:numPr>
                <w:ilvl w:val="0"/>
                <w:numId w:val="3"/>
              </w:numPr>
              <w:rPr>
                <w:lang w:eastAsia="zh-CN"/>
              </w:rPr>
            </w:pPr>
            <w:r>
              <w:rPr>
                <w:rFonts w:hint="eastAsia"/>
                <w:lang w:eastAsia="zh-CN"/>
              </w:rPr>
              <w:t>7*24</w:t>
            </w:r>
            <w:r>
              <w:rPr>
                <w:rFonts w:hint="eastAsia" w:ascii="宋体" w:hAnsi="宋体" w:eastAsia="宋体" w:cs="宋体"/>
                <w:lang w:eastAsia="zh-CN"/>
              </w:rPr>
              <w:t>小时网站监测工具（黄埔及荔湾院区各部署一套）。</w:t>
            </w:r>
          </w:p>
          <w:p w14:paraId="367CCCB9">
            <w:pPr>
              <w:pStyle w:val="7"/>
              <w:numPr>
                <w:ilvl w:val="0"/>
                <w:numId w:val="3"/>
              </w:numPr>
              <w:rPr>
                <w:lang w:eastAsia="zh-CN"/>
              </w:rPr>
            </w:pPr>
            <w:r>
              <w:rPr>
                <w:rFonts w:hint="eastAsia" w:eastAsia="宋体"/>
                <w:lang w:eastAsia="zh-CN"/>
              </w:rPr>
              <w:t>对外业务服务器</w:t>
            </w:r>
            <w:r>
              <w:rPr>
                <w:rFonts w:eastAsia="宋体"/>
                <w:lang w:eastAsia="zh-CN"/>
              </w:rPr>
              <w:t>agent</w:t>
            </w:r>
            <w:r>
              <w:rPr>
                <w:rFonts w:hint="eastAsia" w:eastAsia="宋体"/>
                <w:lang w:eastAsia="zh-CN"/>
              </w:rPr>
              <w:t>授权50个。</w:t>
            </w:r>
          </w:p>
          <w:p w14:paraId="60647BF5">
            <w:pPr>
              <w:pStyle w:val="7"/>
              <w:numPr>
                <w:ilvl w:val="0"/>
                <w:numId w:val="3"/>
              </w:numPr>
              <w:rPr>
                <w:lang w:eastAsia="zh-CN"/>
              </w:rPr>
            </w:pPr>
            <w:r>
              <w:rPr>
                <w:rFonts w:hint="eastAsia"/>
                <w:lang w:eastAsia="zh-CN"/>
              </w:rPr>
              <w:t>CFCA OV</w:t>
            </w:r>
            <w:r>
              <w:rPr>
                <w:rFonts w:hint="eastAsia" w:ascii="宋体" w:hAnsi="宋体" w:eastAsia="宋体" w:cs="宋体"/>
                <w:lang w:eastAsia="zh-CN"/>
              </w:rPr>
              <w:t>通配符</w:t>
            </w:r>
            <w:r>
              <w:rPr>
                <w:rFonts w:hint="eastAsia"/>
                <w:lang w:eastAsia="zh-CN"/>
              </w:rPr>
              <w:t>SSL</w:t>
            </w:r>
            <w:r>
              <w:rPr>
                <w:rFonts w:hint="eastAsia" w:ascii="宋体" w:hAnsi="宋体" w:eastAsia="宋体" w:cs="宋体"/>
                <w:lang w:eastAsia="zh-CN"/>
              </w:rPr>
              <w:t>证书</w:t>
            </w:r>
            <w:r>
              <w:rPr>
                <w:rFonts w:hint="eastAsia"/>
                <w:lang w:eastAsia="zh-CN"/>
              </w:rPr>
              <w:t>-</w:t>
            </w:r>
            <w:r>
              <w:rPr>
                <w:rFonts w:hint="eastAsia" w:ascii="宋体" w:hAnsi="宋体" w:eastAsia="宋体" w:cs="宋体"/>
                <w:lang w:eastAsia="zh-CN"/>
              </w:rPr>
              <w:t>国产（一张），买</w:t>
            </w:r>
            <w:r>
              <w:rPr>
                <w:rFonts w:hint="eastAsia"/>
                <w:lang w:eastAsia="zh-CN"/>
              </w:rPr>
              <w:t>.cn</w:t>
            </w:r>
            <w:r>
              <w:rPr>
                <w:rFonts w:hint="eastAsia" w:ascii="宋体" w:hAnsi="宋体" w:eastAsia="宋体" w:cs="宋体"/>
                <w:lang w:eastAsia="zh-CN"/>
              </w:rPr>
              <w:t>域名证书一年。</w:t>
            </w:r>
          </w:p>
          <w:p w14:paraId="3B4298CC">
            <w:pPr>
              <w:pStyle w:val="7"/>
              <w:numPr>
                <w:ilvl w:val="0"/>
                <w:numId w:val="3"/>
              </w:numPr>
              <w:rPr>
                <w:lang w:eastAsia="zh-CN"/>
              </w:rPr>
            </w:pPr>
            <w:r>
              <w:rPr>
                <w:rFonts w:hint="eastAsia" w:ascii="宋体" w:hAnsi="宋体" w:eastAsia="宋体" w:cs="宋体"/>
                <w:lang w:eastAsia="zh-CN"/>
              </w:rPr>
              <w:t>终端安全管理工具（</w:t>
            </w:r>
            <w:r>
              <w:rPr>
                <w:rFonts w:hint="eastAsia"/>
                <w:lang w:eastAsia="zh-CN"/>
              </w:rPr>
              <w:t>2000</w:t>
            </w:r>
            <w:r>
              <w:rPr>
                <w:rFonts w:hint="eastAsia" w:ascii="宋体" w:hAnsi="宋体" w:eastAsia="宋体" w:cs="宋体"/>
                <w:lang w:eastAsia="zh-CN"/>
              </w:rPr>
              <w:t>个点）。</w:t>
            </w:r>
          </w:p>
        </w:tc>
      </w:tr>
      <w:tr w14:paraId="6D356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FFFFFF"/>
            <w:noWrap w:val="0"/>
            <w:tcMar>
              <w:top w:w="0" w:type="dxa"/>
              <w:left w:w="105" w:type="dxa"/>
              <w:bottom w:w="0" w:type="dxa"/>
              <w:right w:w="105" w:type="dxa"/>
            </w:tcMar>
            <w:vAlign w:val="center"/>
          </w:tcPr>
          <w:p w14:paraId="06EF86A2">
            <w:pPr>
              <w:pStyle w:val="2"/>
              <w:spacing w:line="360" w:lineRule="auto"/>
              <w:rPr>
                <w:rFonts w:eastAsia="等线"/>
                <w:lang w:eastAsia="zh-CN"/>
              </w:rPr>
            </w:pPr>
            <w:r>
              <w:rPr>
                <w:rFonts w:hint="eastAsia" w:eastAsia="等线"/>
                <w:lang w:eastAsia="zh-CN"/>
              </w:rPr>
              <w:t>9</w:t>
            </w:r>
          </w:p>
        </w:tc>
        <w:tc>
          <w:tcPr>
            <w:tcW w:w="1385" w:type="dxa"/>
            <w:shd w:val="clear" w:color="auto" w:fill="FFFFFF"/>
            <w:noWrap w:val="0"/>
            <w:tcMar>
              <w:top w:w="0" w:type="dxa"/>
              <w:left w:w="105" w:type="dxa"/>
              <w:bottom w:w="0" w:type="dxa"/>
              <w:right w:w="105" w:type="dxa"/>
            </w:tcMar>
            <w:vAlign w:val="center"/>
          </w:tcPr>
          <w:p w14:paraId="4B55295C">
            <w:pPr>
              <w:rPr>
                <w:lang w:eastAsia="zh-CN"/>
              </w:rPr>
            </w:pPr>
            <w:r>
              <w:rPr>
                <w:rFonts w:hint="eastAsia" w:ascii="宋体" w:hAnsi="宋体" w:eastAsia="宋体" w:cs="宋体"/>
                <w:lang w:eastAsia="zh-CN"/>
              </w:rPr>
              <w:t>两院区</w:t>
            </w:r>
            <w:r>
              <w:rPr>
                <w:rFonts w:hint="eastAsia"/>
                <w:lang w:eastAsia="zh-CN"/>
              </w:rPr>
              <w:t>网络安全深度监测服务</w:t>
            </w:r>
          </w:p>
        </w:tc>
        <w:tc>
          <w:tcPr>
            <w:tcW w:w="1276" w:type="dxa"/>
            <w:shd w:val="clear" w:color="auto" w:fill="FFFFFF"/>
            <w:noWrap w:val="0"/>
            <w:tcMar>
              <w:top w:w="0" w:type="dxa"/>
              <w:left w:w="105" w:type="dxa"/>
              <w:bottom w:w="0" w:type="dxa"/>
              <w:right w:w="105" w:type="dxa"/>
            </w:tcMar>
            <w:vAlign w:val="center"/>
          </w:tcPr>
          <w:p w14:paraId="008E606A">
            <w:pPr>
              <w:rPr>
                <w:lang w:eastAsia="zh-CN"/>
              </w:rPr>
            </w:pPr>
            <w:r>
              <w:rPr>
                <w:rFonts w:hint="eastAsia"/>
                <w:lang w:eastAsia="zh-CN"/>
              </w:rPr>
              <w:t>12个月</w:t>
            </w:r>
          </w:p>
        </w:tc>
        <w:tc>
          <w:tcPr>
            <w:tcW w:w="5182" w:type="dxa"/>
            <w:shd w:val="clear" w:color="auto" w:fill="FFFFFF"/>
            <w:noWrap w:val="0"/>
            <w:tcMar>
              <w:top w:w="0" w:type="dxa"/>
              <w:left w:w="105" w:type="dxa"/>
              <w:bottom w:w="0" w:type="dxa"/>
              <w:right w:w="105" w:type="dxa"/>
            </w:tcMar>
            <w:vAlign w:val="center"/>
          </w:tcPr>
          <w:p w14:paraId="20CB443E">
            <w:pPr>
              <w:rPr>
                <w:rFonts w:hint="eastAsia" w:ascii="宋体" w:hAnsi="宋体" w:eastAsia="宋体" w:cs="宋体"/>
                <w:lang w:eastAsia="zh-CN"/>
              </w:rPr>
            </w:pPr>
            <w:r>
              <w:rPr>
                <w:rFonts w:hint="eastAsia" w:ascii="宋体" w:hAnsi="宋体" w:eastAsia="宋体" w:cs="宋体"/>
                <w:lang w:eastAsia="zh-CN"/>
              </w:rPr>
              <w:t>结合大数据分析、人工智能、云端专家提供安全事件发现服务：依托于安全防护组件、检测响应组件和安全平台，将海量安全数据脱敏，包括漏洞信息、共享威胁情报、异常流量、攻击日志、病毒日志等数据，经由大数据处理平台结合人工智能和云端安全专家使用多种数据分析算法模型进行数据归因关联分析，实时监测网络安全状态</w:t>
            </w:r>
            <w:r>
              <w:rPr>
                <w:rFonts w:hint="eastAsia"/>
                <w:lang w:eastAsia="zh-CN"/>
              </w:rPr>
              <w:t>,</w:t>
            </w:r>
            <w:r>
              <w:rPr>
                <w:rFonts w:hint="eastAsia" w:ascii="宋体" w:hAnsi="宋体" w:eastAsia="宋体" w:cs="宋体"/>
                <w:lang w:eastAsia="zh-CN"/>
              </w:rPr>
              <w:t>发现各类安全事件，并自动生成工单，提供</w:t>
            </w:r>
            <w:r>
              <w:rPr>
                <w:rFonts w:hint="eastAsia"/>
                <w:lang w:eastAsia="zh-CN"/>
              </w:rPr>
              <w:t>7*24</w:t>
            </w:r>
            <w:r>
              <w:rPr>
                <w:rFonts w:hint="eastAsia" w:ascii="宋体" w:hAnsi="宋体" w:eastAsia="宋体" w:cs="宋体"/>
                <w:lang w:eastAsia="zh-CN"/>
              </w:rPr>
              <w:t>小时持续专家服务，发现威胁及时响应。</w:t>
            </w:r>
          </w:p>
          <w:p w14:paraId="62B4EF42">
            <w:pPr>
              <w:pStyle w:val="2"/>
              <w:rPr>
                <w:rFonts w:eastAsia="等线"/>
                <w:lang w:eastAsia="zh-CN"/>
              </w:rPr>
            </w:pPr>
            <w:r>
              <w:rPr>
                <w:rFonts w:hint="eastAsia" w:eastAsia="等线"/>
                <w:lang w:eastAsia="zh-CN"/>
              </w:rPr>
              <w:t>注：两院区不限资产数</w:t>
            </w:r>
          </w:p>
        </w:tc>
      </w:tr>
    </w:tbl>
    <w:p w14:paraId="4EC9BE4F">
      <w:pPr>
        <w:rPr>
          <w:lang w:eastAsia="zh-CN"/>
        </w:rPr>
      </w:pPr>
    </w:p>
    <w:p w14:paraId="049B74D0"/>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 w:name="Helvetica">
    <w:altName w:val="Arial"/>
    <w:panose1 w:val="020B0504020202020204"/>
    <w:charset w:val="00"/>
    <w:family w:val="swiss"/>
    <w:pitch w:val="default"/>
    <w:sig w:usb0="00000000" w:usb1="00000000"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0391328"/>
    <w:multiLevelType w:val="multilevel"/>
    <w:tmpl w:val="10391328"/>
    <w:lvl w:ilvl="0" w:tentative="0">
      <w:start w:val="1"/>
      <w:numFmt w:val="decimal"/>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
    <w:nsid w:val="22AA0FEC"/>
    <w:multiLevelType w:val="multilevel"/>
    <w:tmpl w:val="22AA0FEC"/>
    <w:lvl w:ilvl="0" w:tentative="0">
      <w:start w:val="1"/>
      <w:numFmt w:val="decimal"/>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
    <w:nsid w:val="3EBB3C91"/>
    <w:multiLevelType w:val="multilevel"/>
    <w:tmpl w:val="3EBB3C91"/>
    <w:lvl w:ilvl="0" w:tentative="0">
      <w:start w:val="1"/>
      <w:numFmt w:val="chineseCountingThousand"/>
      <w:suff w:val="space"/>
      <w:lvlText w:val="%1. "/>
      <w:lvlJc w:val="left"/>
      <w:pPr>
        <w:ind w:left="907" w:hanging="907"/>
      </w:pPr>
      <w:rPr>
        <w:rFonts w:hint="eastAsia"/>
        <w:lang w:val="en-US"/>
      </w:rPr>
    </w:lvl>
    <w:lvl w:ilvl="1" w:tentative="0">
      <w:start w:val="1"/>
      <w:numFmt w:val="decimal"/>
      <w:isLgl/>
      <w:suff w:val="space"/>
      <w:lvlText w:val="%1.%2 "/>
      <w:lvlJc w:val="left"/>
      <w:pPr>
        <w:ind w:left="794" w:hanging="794"/>
      </w:pPr>
      <w:rPr>
        <w:rFonts w:hint="eastAsia"/>
      </w:rPr>
    </w:lvl>
    <w:lvl w:ilvl="2" w:tentative="0">
      <w:start w:val="1"/>
      <w:numFmt w:val="decimal"/>
      <w:isLgl/>
      <w:suff w:val="space"/>
      <w:lvlText w:val="%1.%2.%3 "/>
      <w:lvlJc w:val="left"/>
      <w:pPr>
        <w:ind w:left="907" w:hanging="907"/>
      </w:pPr>
      <w:rPr>
        <w:rFonts w:hint="eastAsia"/>
      </w:rPr>
    </w:lvl>
    <w:lvl w:ilvl="3" w:tentative="0">
      <w:start w:val="1"/>
      <w:numFmt w:val="decimal"/>
      <w:isLgl/>
      <w:suff w:val="space"/>
      <w:lvlText w:val="%1.%2.%3.%4 "/>
      <w:lvlJc w:val="left"/>
      <w:pPr>
        <w:ind w:left="1021" w:hanging="1021"/>
      </w:pPr>
      <w:rPr>
        <w:rFonts w:hint="eastAsia"/>
      </w:rPr>
    </w:lvl>
    <w:lvl w:ilvl="4" w:tentative="0">
      <w:start w:val="1"/>
      <w:numFmt w:val="decimal"/>
      <w:isLgl/>
      <w:suff w:val="space"/>
      <w:lvlText w:val="%1.%2.%3.%4.%5 "/>
      <w:lvlJc w:val="left"/>
      <w:pPr>
        <w:ind w:left="1134" w:hanging="1134"/>
      </w:pPr>
      <w:rPr>
        <w:rFonts w:hint="eastAsia"/>
      </w:rPr>
    </w:lvl>
    <w:lvl w:ilvl="5" w:tentative="0">
      <w:start w:val="1"/>
      <w:numFmt w:val="decimal"/>
      <w:isLgl/>
      <w:suff w:val="space"/>
      <w:lvlText w:val="%1.%2.%3.%4.%5.%6 "/>
      <w:lvlJc w:val="left"/>
      <w:pPr>
        <w:ind w:left="1247" w:hanging="1247"/>
      </w:pPr>
      <w:rPr>
        <w:rFonts w:hint="eastAsia"/>
      </w:rPr>
    </w:lvl>
    <w:lvl w:ilvl="6" w:tentative="0">
      <w:start w:val="1"/>
      <w:numFmt w:val="decimal"/>
      <w:lvlRestart w:val="1"/>
      <w:isLgl/>
      <w:suff w:val="space"/>
      <w:lvlText w:val="图 %1.%7 "/>
      <w:lvlJc w:val="left"/>
      <w:pPr>
        <w:ind w:left="0" w:firstLine="0"/>
      </w:pPr>
      <w:rPr>
        <w:rFonts w:hint="eastAsia"/>
      </w:rPr>
    </w:lvl>
    <w:lvl w:ilvl="7" w:tentative="0">
      <w:start w:val="1"/>
      <w:numFmt w:val="decimal"/>
      <w:lvlRestart w:val="1"/>
      <w:isLgl/>
      <w:suff w:val="space"/>
      <w:lvlText w:val="表 %1.%8 "/>
      <w:lvlJc w:val="left"/>
      <w:pPr>
        <w:ind w:left="0" w:firstLine="0"/>
      </w:pPr>
      <w:rPr>
        <w:rFonts w:hint="eastAsia"/>
      </w:rPr>
    </w:lvl>
    <w:lvl w:ilvl="8" w:tentative="0">
      <w:start w:val="1"/>
      <w:numFmt w:val="none"/>
      <w:suff w:val="nothing"/>
      <w:lvlText w:val=""/>
      <w:lvlJc w:val="left"/>
      <w:pPr>
        <w:ind w:left="0" w:firstLine="0"/>
      </w:pPr>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82D219F"/>
    <w:rsid w:val="4CCE2312"/>
    <w:rsid w:val="682D21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unhideWhenUsed/>
    <w:qFormat/>
    <w:uiPriority w:val="0"/>
    <w:pPr>
      <w:spacing w:after="120"/>
    </w:pPr>
  </w:style>
  <w:style w:type="paragraph" w:customStyle="1" w:styleId="5">
    <w:name w:val="标题 2_0"/>
    <w:basedOn w:val="1"/>
    <w:next w:val="1"/>
    <w:qFormat/>
    <w:uiPriority w:val="0"/>
    <w:pPr>
      <w:keepNext/>
      <w:keepLines/>
      <w:widowControl w:val="0"/>
      <w:kinsoku/>
      <w:autoSpaceDE/>
      <w:autoSpaceDN/>
      <w:spacing w:line="360" w:lineRule="auto"/>
      <w:jc w:val="center"/>
      <w:textAlignment w:val="auto"/>
      <w:outlineLvl w:val="1"/>
    </w:pPr>
    <w:rPr>
      <w:rFonts w:ascii="宋体" w:eastAsia="宋体" w:cs="Helvetica"/>
      <w:snapToGrid/>
      <w:color w:val="auto"/>
      <w:kern w:val="2"/>
      <w:sz w:val="32"/>
      <w:szCs w:val="20"/>
      <w:lang w:val="zh-CN" w:eastAsia="zh-CN"/>
    </w:rPr>
  </w:style>
  <w:style w:type="paragraph" w:customStyle="1" w:styleId="6">
    <w:name w:val="正文（绿盟科技）"/>
    <w:qFormat/>
    <w:uiPriority w:val="0"/>
    <w:pPr>
      <w:spacing w:line="300" w:lineRule="auto"/>
    </w:pPr>
    <w:rPr>
      <w:rFonts w:ascii="Arial" w:hAnsi="Arial" w:eastAsia="宋体" w:cs="Times New Roman"/>
      <w:kern w:val="0"/>
      <w:sz w:val="21"/>
      <w:szCs w:val="21"/>
      <w:lang w:val="en-US" w:eastAsia="zh-CN" w:bidi="ar-SA"/>
    </w:rPr>
  </w:style>
  <w:style w:type="paragraph" w:styleId="7">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2025-07-21T08:07:00Z</dcterms:created>
  <dc:creator>原子笔</dc:creator>
  <cp:lastModifiedBy>原子笔</cp:lastModifiedBy>
  <dcterms:modified xsi:type="dcterms:W3CDTF">2025-07-21T08:08:07Z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8FB331CE71CE483AA43BF8A3AB7F6574_13</vt:lpwstr>
  </property>
  <property fmtid="{D5CDD505-2E9C-101B-9397-08002B2CF9AE}" pid="4" name="KSOTemplateDocerSaveRecord">
    <vt:lpwstr>eyJoZGlkIjoiMzVmNjZlZTRkMzg5YWQ1OGZlNDlkMGUyOTNiMjViYTIiLCJ1c2VySWQiOiI0NDY4OTUxODEifQ==</vt:lpwstr>
  </property>
</Properties>
</file>