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autoSpaceDN/>
        <w:adjustRightInd/>
        <w:jc w:val="both"/>
        <w:rPr>
          <w:rStyle w:val="25"/>
          <w:rFonts w:ascii="宋体" w:hAnsi="宋体" w:cs="宋体"/>
          <w:sz w:val="40"/>
          <w:szCs w:val="40"/>
        </w:rPr>
      </w:pPr>
      <w:bookmarkStart w:id="0" w:name="_Toc25960"/>
      <w:bookmarkStart w:id="1" w:name="_Toc2483"/>
      <w:bookmarkStart w:id="2" w:name="_Toc30765"/>
      <w:bookmarkStart w:id="3" w:name="_Toc19"/>
      <w:bookmarkStart w:id="4" w:name="_Toc92364451"/>
      <w:bookmarkStart w:id="5" w:name="_Toc4215"/>
      <w:bookmarkStart w:id="6" w:name="_Toc6231"/>
    </w:p>
    <w:p>
      <w:pPr>
        <w:widowControl/>
        <w:autoSpaceDE/>
        <w:autoSpaceDN/>
        <w:adjustRightInd/>
        <w:jc w:val="center"/>
        <w:rPr>
          <w:rStyle w:val="25"/>
          <w:rFonts w:ascii="宋体" w:hAnsi="宋体" w:cs="宋体"/>
          <w:sz w:val="44"/>
          <w:szCs w:val="44"/>
        </w:rPr>
      </w:pPr>
      <w:r>
        <w:rPr>
          <w:rStyle w:val="25"/>
          <w:rFonts w:hint="eastAsia" w:ascii="宋体" w:hAnsi="宋体" w:cs="宋体"/>
          <w:sz w:val="44"/>
          <w:szCs w:val="44"/>
          <w:lang w:val="en-US" w:eastAsia="zh-CN"/>
        </w:rPr>
        <w:t>广州医科大学附属第三医院黄埔院区-安检改造项目</w:t>
      </w:r>
      <w:r>
        <w:rPr>
          <w:rStyle w:val="25"/>
          <w:rFonts w:hint="eastAsia" w:ascii="宋体" w:hAnsi="宋体" w:cs="宋体"/>
          <w:sz w:val="44"/>
          <w:szCs w:val="44"/>
        </w:rPr>
        <w:t>需求书</w:t>
      </w:r>
      <w:bookmarkEnd w:id="0"/>
      <w:bookmarkEnd w:id="1"/>
      <w:bookmarkEnd w:id="2"/>
      <w:bookmarkEnd w:id="3"/>
      <w:bookmarkEnd w:id="4"/>
      <w:bookmarkEnd w:id="5"/>
      <w:bookmarkEnd w:id="6"/>
    </w:p>
    <w:p>
      <w:pPr>
        <w:pStyle w:val="2"/>
        <w:spacing w:line="360" w:lineRule="auto"/>
        <w:ind w:left="425" w:hanging="425"/>
        <w:rPr>
          <w:rFonts w:ascii="宋体" w:hAnsi="宋体" w:cs="宋体"/>
          <w:sz w:val="44"/>
          <w:szCs w:val="44"/>
        </w:rPr>
      </w:pPr>
      <w:r>
        <w:rPr>
          <w:rFonts w:hint="eastAsia" w:ascii="宋体" w:hAnsi="宋体" w:cs="宋体"/>
          <w:sz w:val="44"/>
          <w:szCs w:val="44"/>
        </w:rPr>
        <w:t>相关说明</w:t>
      </w:r>
    </w:p>
    <w:p>
      <w:pPr>
        <w:numPr>
          <w:ilvl w:val="0"/>
          <w:numId w:val="2"/>
        </w:numPr>
        <w:tabs>
          <w:tab w:val="left" w:pos="0"/>
          <w:tab w:val="clear" w:pos="420"/>
        </w:tabs>
        <w:autoSpaceDE/>
        <w:autoSpaceDN/>
        <w:snapToGrid w:val="0"/>
        <w:ind w:left="562" w:hanging="561" w:hangingChars="234"/>
        <w:jc w:val="both"/>
        <w:textAlignment w:val="baseline"/>
        <w:rPr>
          <w:rFonts w:ascii="宋体" w:hAnsi="宋体" w:cs="宋体"/>
        </w:rPr>
      </w:pPr>
      <w:r>
        <w:rPr>
          <w:rFonts w:hint="eastAsia" w:ascii="宋体" w:hAnsi="宋体" w:cs="宋体"/>
          <w:bCs/>
          <w:szCs w:val="24"/>
        </w:rPr>
        <w:t>投标人须对本项目的采购标的进行整体投标，任何只对本项目采购标的其中一部分内容、数量进行的投标都应予否决投标。</w:t>
      </w:r>
    </w:p>
    <w:p>
      <w:pPr>
        <w:numPr>
          <w:ilvl w:val="0"/>
          <w:numId w:val="2"/>
        </w:numPr>
        <w:tabs>
          <w:tab w:val="left" w:pos="0"/>
          <w:tab w:val="clear" w:pos="420"/>
        </w:tabs>
        <w:autoSpaceDE/>
        <w:autoSpaceDN/>
        <w:snapToGrid w:val="0"/>
        <w:ind w:left="562" w:hanging="561" w:hangingChars="234"/>
        <w:jc w:val="both"/>
        <w:textAlignment w:val="baseline"/>
        <w:rPr>
          <w:rFonts w:ascii="宋体" w:hAnsi="宋体" w:cs="宋体"/>
        </w:rPr>
      </w:pPr>
      <w:r>
        <w:rPr>
          <w:rFonts w:hint="eastAsia" w:ascii="宋体" w:hAnsi="宋体" w:cs="宋体"/>
          <w:bCs/>
          <w:szCs w:val="24"/>
        </w:rPr>
        <w:t>采购需求中标注“★”号条款为实质性条款，必须逐条进行响应，有任何一条负偏离的，应予否决投标。</w:t>
      </w:r>
    </w:p>
    <w:p>
      <w:pPr>
        <w:numPr>
          <w:ilvl w:val="0"/>
          <w:numId w:val="2"/>
        </w:numPr>
        <w:tabs>
          <w:tab w:val="left" w:pos="0"/>
          <w:tab w:val="clear" w:pos="420"/>
        </w:tabs>
        <w:autoSpaceDE/>
        <w:autoSpaceDN/>
        <w:snapToGrid w:val="0"/>
        <w:ind w:left="562" w:hanging="561" w:hangingChars="234"/>
        <w:jc w:val="both"/>
        <w:textAlignment w:val="baseline"/>
        <w:rPr>
          <w:rFonts w:ascii="宋体" w:hAnsi="宋体" w:cs="宋体"/>
        </w:rPr>
      </w:pPr>
      <w:r>
        <w:rPr>
          <w:rFonts w:hint="eastAsia" w:ascii="宋体" w:hAnsi="宋体" w:cs="宋体"/>
          <w:bCs/>
          <w:szCs w:val="24"/>
        </w:rPr>
        <w:t>采购需求中标注“▲”号条款为重要技术参数，但不作为否决投标条款。</w:t>
      </w:r>
    </w:p>
    <w:p>
      <w:pPr>
        <w:pStyle w:val="2"/>
        <w:spacing w:line="360" w:lineRule="auto"/>
        <w:rPr>
          <w:rFonts w:ascii="宋体" w:hAnsi="宋体" w:cs="宋体"/>
        </w:rPr>
      </w:pPr>
      <w:r>
        <w:rPr>
          <w:rFonts w:hint="eastAsia" w:ascii="宋体" w:hAnsi="宋体" w:cs="宋体"/>
        </w:rPr>
        <w:t>项目预算</w:t>
      </w:r>
    </w:p>
    <w:tbl>
      <w:tblPr>
        <w:tblStyle w:val="19"/>
        <w:tblW w:w="98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12"/>
        <w:gridCol w:w="1815"/>
        <w:gridCol w:w="2145"/>
        <w:gridCol w:w="2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3712" w:type="dxa"/>
            <w:shd w:val="clear" w:color="auto" w:fill="EEECE1"/>
            <w:vAlign w:val="center"/>
          </w:tcPr>
          <w:p>
            <w:pPr>
              <w:jc w:val="center"/>
              <w:rPr>
                <w:rFonts w:ascii="宋体" w:hAnsi="宋体" w:cs="宋体"/>
                <w:b/>
                <w:color w:val="auto"/>
                <w:szCs w:val="24"/>
              </w:rPr>
            </w:pPr>
            <w:r>
              <w:rPr>
                <w:rFonts w:hint="eastAsia" w:ascii="宋体" w:hAnsi="宋体" w:cs="宋体"/>
                <w:b/>
                <w:color w:val="auto"/>
                <w:szCs w:val="24"/>
              </w:rPr>
              <w:t>采购内容</w:t>
            </w:r>
          </w:p>
        </w:tc>
        <w:tc>
          <w:tcPr>
            <w:tcW w:w="1815" w:type="dxa"/>
            <w:shd w:val="clear" w:color="auto" w:fill="EEECE1"/>
            <w:vAlign w:val="center"/>
          </w:tcPr>
          <w:p>
            <w:pPr>
              <w:jc w:val="center"/>
              <w:rPr>
                <w:rFonts w:ascii="宋体" w:hAnsi="宋体" w:cs="宋体"/>
                <w:b/>
                <w:color w:val="auto"/>
                <w:szCs w:val="24"/>
              </w:rPr>
            </w:pPr>
            <w:r>
              <w:rPr>
                <w:rFonts w:hint="eastAsia" w:ascii="宋体" w:hAnsi="宋体" w:cs="宋体"/>
                <w:b/>
                <w:color w:val="auto"/>
                <w:szCs w:val="24"/>
              </w:rPr>
              <w:t>数量</w:t>
            </w:r>
          </w:p>
        </w:tc>
        <w:tc>
          <w:tcPr>
            <w:tcW w:w="2145" w:type="dxa"/>
            <w:shd w:val="clear" w:color="auto" w:fill="EEECE1"/>
            <w:vAlign w:val="center"/>
          </w:tcPr>
          <w:p>
            <w:pPr>
              <w:jc w:val="center"/>
              <w:rPr>
                <w:rFonts w:ascii="宋体" w:hAnsi="宋体" w:cs="宋体"/>
                <w:b/>
                <w:color w:val="auto"/>
                <w:szCs w:val="24"/>
              </w:rPr>
            </w:pPr>
            <w:r>
              <w:rPr>
                <w:rFonts w:hint="eastAsia" w:ascii="宋体" w:hAnsi="宋体" w:cs="宋体"/>
                <w:b/>
                <w:color w:val="auto"/>
                <w:szCs w:val="24"/>
              </w:rPr>
              <w:t>交货期</w:t>
            </w:r>
          </w:p>
        </w:tc>
        <w:tc>
          <w:tcPr>
            <w:tcW w:w="2153" w:type="dxa"/>
            <w:shd w:val="clear" w:color="auto" w:fill="EEECE1"/>
            <w:vAlign w:val="center"/>
          </w:tcPr>
          <w:p>
            <w:pPr>
              <w:jc w:val="center"/>
              <w:rPr>
                <w:rFonts w:ascii="宋体" w:hAnsi="宋体" w:cs="宋体"/>
                <w:b/>
                <w:color w:val="auto"/>
                <w:szCs w:val="24"/>
              </w:rPr>
            </w:pPr>
            <w:r>
              <w:rPr>
                <w:rFonts w:hint="eastAsia" w:ascii="宋体" w:hAnsi="宋体" w:cs="宋体"/>
                <w:b/>
                <w:color w:val="auto"/>
                <w:szCs w:val="24"/>
              </w:rPr>
              <w:t>最高限价</w:t>
            </w:r>
          </w:p>
          <w:p>
            <w:pPr>
              <w:jc w:val="center"/>
              <w:rPr>
                <w:rFonts w:ascii="宋体" w:hAnsi="宋体" w:cs="宋体"/>
                <w:b/>
                <w:color w:val="auto"/>
                <w:szCs w:val="24"/>
              </w:rPr>
            </w:pPr>
            <w:r>
              <w:rPr>
                <w:rFonts w:hint="eastAsia" w:ascii="宋体" w:hAnsi="宋体" w:cs="宋体"/>
                <w:b/>
                <w:color w:val="auto"/>
              </w:rPr>
              <w:t>（</w:t>
            </w:r>
            <w:r>
              <w:rPr>
                <w:rFonts w:hint="eastAsia" w:ascii="宋体" w:hAnsi="宋体" w:cs="宋体"/>
                <w:color w:val="auto"/>
              </w:rPr>
              <w:t xml:space="preserve">人民币 </w:t>
            </w:r>
            <w:r>
              <w:rPr>
                <w:rFonts w:hint="eastAsia" w:ascii="宋体" w:hAnsi="宋体" w:cs="宋体"/>
                <w:color w:val="auto"/>
                <w:lang w:val="en-US" w:eastAsia="zh-CN"/>
              </w:rPr>
              <w:t>万</w:t>
            </w:r>
            <w:r>
              <w:rPr>
                <w:rFonts w:hint="eastAsia" w:ascii="宋体" w:hAnsi="宋体" w:cs="宋体"/>
                <w:color w:val="auto"/>
              </w:rPr>
              <w:t>元</w:t>
            </w:r>
            <w:r>
              <w:rPr>
                <w:rFonts w:hint="eastAsia" w:ascii="宋体" w:hAnsi="宋体" w:cs="宋体"/>
                <w:b/>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3712" w:type="dxa"/>
            <w:vAlign w:val="center"/>
          </w:tcPr>
          <w:p>
            <w:pPr>
              <w:widowControl/>
              <w:jc w:val="center"/>
              <w:textAlignment w:val="center"/>
              <w:rPr>
                <w:rFonts w:ascii="宋体" w:hAnsi="宋体" w:cs="宋体"/>
                <w:color w:val="auto"/>
                <w:sz w:val="20"/>
              </w:rPr>
            </w:pPr>
            <w:r>
              <w:rPr>
                <w:rFonts w:hint="eastAsia" w:ascii="宋体" w:hAnsi="宋体" w:cs="宋体"/>
                <w:color w:val="auto"/>
                <w:sz w:val="24"/>
                <w:szCs w:val="24"/>
                <w:lang w:val="en-US" w:eastAsia="zh-CN"/>
              </w:rPr>
              <w:t>安检</w:t>
            </w:r>
            <w:r>
              <w:rPr>
                <w:rFonts w:hint="eastAsia" w:ascii="宋体" w:hAnsi="宋体" w:cs="宋体"/>
                <w:color w:val="auto"/>
                <w:sz w:val="24"/>
                <w:szCs w:val="24"/>
              </w:rPr>
              <w:t>改造项目</w:t>
            </w:r>
          </w:p>
        </w:tc>
        <w:tc>
          <w:tcPr>
            <w:tcW w:w="1815" w:type="dxa"/>
            <w:vAlign w:val="center"/>
          </w:tcPr>
          <w:p>
            <w:pPr>
              <w:widowControl/>
              <w:jc w:val="center"/>
              <w:textAlignment w:val="center"/>
              <w:rPr>
                <w:rFonts w:hint="default" w:ascii="宋体" w:hAnsi="宋体" w:eastAsia="宋体" w:cs="宋体"/>
                <w:color w:val="auto"/>
                <w:sz w:val="20"/>
                <w:lang w:val="en-US" w:eastAsia="zh-CN"/>
              </w:rPr>
            </w:pPr>
            <w:r>
              <w:rPr>
                <w:rFonts w:hint="eastAsia" w:ascii="宋体" w:hAnsi="宋体" w:cs="宋体"/>
                <w:color w:val="auto"/>
                <w:sz w:val="20"/>
                <w:lang w:val="en-US" w:eastAsia="zh-CN"/>
              </w:rPr>
              <w:t>1项</w:t>
            </w:r>
          </w:p>
        </w:tc>
        <w:tc>
          <w:tcPr>
            <w:tcW w:w="2145" w:type="dxa"/>
            <w:vAlign w:val="center"/>
          </w:tcPr>
          <w:p>
            <w:pPr>
              <w:keepNext/>
              <w:autoSpaceDE/>
              <w:autoSpaceDN/>
              <w:spacing w:before="60" w:after="60"/>
              <w:ind w:right="-94" w:rightChars="-39" w:hanging="54"/>
              <w:jc w:val="center"/>
              <w:textAlignment w:val="center"/>
              <w:rPr>
                <w:rFonts w:ascii="宋体" w:hAnsi="宋体" w:cs="宋体"/>
                <w:color w:val="auto"/>
                <w:kern w:val="2"/>
                <w:szCs w:val="24"/>
              </w:rPr>
            </w:pPr>
            <w:r>
              <w:rPr>
                <w:rFonts w:hint="eastAsia" w:ascii="宋体" w:hAnsi="宋体" w:cs="宋体"/>
                <w:color w:val="auto"/>
                <w:kern w:val="2"/>
                <w:szCs w:val="24"/>
              </w:rPr>
              <w:t>自合同签订之日起</w:t>
            </w:r>
          </w:p>
          <w:p>
            <w:pPr>
              <w:keepNext/>
              <w:autoSpaceDE/>
              <w:autoSpaceDN/>
              <w:spacing w:before="60" w:after="60"/>
              <w:ind w:right="-94" w:rightChars="-39" w:hanging="54"/>
              <w:jc w:val="center"/>
              <w:textAlignment w:val="center"/>
              <w:rPr>
                <w:rFonts w:ascii="宋体" w:hAnsi="宋体" w:cs="宋体"/>
                <w:color w:val="auto"/>
                <w:kern w:val="2"/>
                <w:szCs w:val="24"/>
              </w:rPr>
            </w:pPr>
            <w:r>
              <w:rPr>
                <w:rFonts w:hint="eastAsia" w:ascii="宋体" w:hAnsi="宋体" w:cs="宋体"/>
                <w:color w:val="auto"/>
                <w:kern w:val="2"/>
                <w:szCs w:val="24"/>
              </w:rPr>
              <w:t>30日历天内</w:t>
            </w:r>
          </w:p>
        </w:tc>
        <w:tc>
          <w:tcPr>
            <w:tcW w:w="2153" w:type="dxa"/>
            <w:vAlign w:val="center"/>
          </w:tcPr>
          <w:p>
            <w:pPr>
              <w:jc w:val="center"/>
              <w:rPr>
                <w:rFonts w:hint="default" w:ascii="宋体" w:hAnsi="宋体" w:cs="宋体"/>
                <w:color w:val="auto"/>
                <w:szCs w:val="24"/>
                <w:lang w:val="en-US"/>
              </w:rPr>
            </w:pPr>
            <w:r>
              <w:rPr>
                <w:rFonts w:hint="eastAsia" w:ascii="宋体" w:hAnsi="宋体" w:cs="宋体"/>
                <w:color w:val="auto"/>
                <w:szCs w:val="24"/>
                <w:lang w:val="en-US" w:eastAsia="zh-CN"/>
              </w:rPr>
              <w:t>17.519</w:t>
            </w:r>
          </w:p>
        </w:tc>
      </w:tr>
    </w:tbl>
    <w:p>
      <w:pPr>
        <w:pStyle w:val="2"/>
        <w:spacing w:line="360" w:lineRule="auto"/>
        <w:rPr>
          <w:rFonts w:ascii="宋体" w:hAnsi="宋体" w:cs="宋体"/>
          <w:color w:val="auto"/>
        </w:rPr>
      </w:pPr>
      <w:r>
        <w:rPr>
          <w:rFonts w:hint="eastAsia" w:ascii="宋体" w:hAnsi="宋体" w:cs="宋体"/>
          <w:color w:val="auto"/>
        </w:rPr>
        <w:t>项目概况</w:t>
      </w:r>
    </w:p>
    <w:p>
      <w:pPr>
        <w:pStyle w:val="3"/>
        <w:spacing w:line="360" w:lineRule="auto"/>
        <w:rPr>
          <w:rFonts w:ascii="宋体" w:hAnsi="宋体" w:eastAsia="宋体" w:cs="宋体"/>
          <w:color w:val="auto"/>
        </w:rPr>
      </w:pPr>
      <w:r>
        <w:rPr>
          <w:rFonts w:hint="eastAsia" w:ascii="宋体" w:hAnsi="宋体" w:eastAsia="宋体" w:cs="宋体"/>
          <w:color w:val="auto"/>
        </w:rPr>
        <w:t>项目背景</w:t>
      </w:r>
    </w:p>
    <w:p>
      <w:pPr>
        <w:widowControl/>
        <w:ind w:firstLine="480" w:firstLineChars="200"/>
        <w:rPr>
          <w:rFonts w:ascii="宋体" w:hAnsi="宋体" w:cs="宋体"/>
          <w:color w:val="auto"/>
        </w:rPr>
      </w:pPr>
      <w:r>
        <w:rPr>
          <w:rFonts w:hint="eastAsia" w:ascii="宋体" w:hAnsi="宋体" w:cs="宋体"/>
          <w:color w:val="auto"/>
        </w:rPr>
        <w:t>为加强对</w:t>
      </w:r>
      <w:r>
        <w:rPr>
          <w:rFonts w:hint="eastAsia" w:ascii="宋体" w:hAnsi="宋体" w:cs="宋体"/>
          <w:color w:val="auto"/>
          <w:lang w:val="en-US" w:eastAsia="zh-CN"/>
        </w:rPr>
        <w:t>医院主要出入口的安全</w:t>
      </w:r>
      <w:r>
        <w:rPr>
          <w:rFonts w:hint="eastAsia" w:ascii="宋体" w:hAnsi="宋体" w:cs="宋体"/>
          <w:color w:val="auto"/>
        </w:rPr>
        <w:t>管理</w:t>
      </w:r>
      <w:r>
        <w:rPr>
          <w:rFonts w:hint="eastAsia" w:ascii="宋体" w:hAnsi="宋体" w:cs="宋体"/>
          <w:color w:val="auto"/>
          <w:lang w:eastAsia="zh-CN"/>
        </w:rPr>
        <w:t>，</w:t>
      </w:r>
      <w:r>
        <w:rPr>
          <w:rFonts w:hint="eastAsia" w:ascii="宋体" w:hAnsi="宋体" w:cs="宋体"/>
          <w:color w:val="auto"/>
          <w:lang w:val="en-US" w:eastAsia="zh-CN"/>
        </w:rPr>
        <w:t>落实相关部门对医院安全保障业务的要求</w:t>
      </w:r>
      <w:r>
        <w:rPr>
          <w:rFonts w:hint="eastAsia" w:ascii="宋体" w:hAnsi="宋体" w:cs="宋体"/>
          <w:color w:val="auto"/>
        </w:rPr>
        <w:t>。广州医科大学附属第三医院计划在黄埔院区部分</w:t>
      </w:r>
      <w:r>
        <w:rPr>
          <w:rFonts w:hint="eastAsia" w:ascii="宋体" w:hAnsi="宋体" w:cs="宋体"/>
          <w:color w:val="auto"/>
          <w:lang w:val="en-US" w:eastAsia="zh-CN"/>
        </w:rPr>
        <w:t>出入口增加、改造安检设备</w:t>
      </w:r>
      <w:r>
        <w:rPr>
          <w:rFonts w:hint="eastAsia" w:ascii="宋体" w:hAnsi="宋体" w:cs="宋体"/>
          <w:color w:val="auto"/>
        </w:rPr>
        <w:t>。</w:t>
      </w:r>
    </w:p>
    <w:p>
      <w:pPr>
        <w:pStyle w:val="3"/>
        <w:spacing w:line="360" w:lineRule="auto"/>
        <w:rPr>
          <w:rFonts w:ascii="宋体" w:hAnsi="宋体" w:eastAsia="宋体" w:cs="宋体"/>
          <w:color w:val="auto"/>
        </w:rPr>
      </w:pPr>
      <w:r>
        <w:rPr>
          <w:rFonts w:hint="eastAsia" w:ascii="宋体" w:hAnsi="宋体" w:eastAsia="宋体" w:cs="宋体"/>
          <w:color w:val="auto"/>
        </w:rPr>
        <w:t>建设原则</w:t>
      </w:r>
    </w:p>
    <w:p>
      <w:pPr>
        <w:numPr>
          <w:ilvl w:val="0"/>
          <w:numId w:val="3"/>
        </w:numPr>
        <w:ind w:left="0" w:firstLine="482" w:firstLineChars="200"/>
        <w:jc w:val="both"/>
        <w:rPr>
          <w:rFonts w:ascii="宋体" w:hAnsi="宋体" w:cs="宋体"/>
          <w:b/>
          <w:color w:val="auto"/>
          <w:szCs w:val="24"/>
        </w:rPr>
      </w:pPr>
      <w:r>
        <w:rPr>
          <w:rFonts w:hint="eastAsia" w:ascii="宋体" w:hAnsi="宋体" w:cs="宋体"/>
          <w:b/>
          <w:color w:val="auto"/>
          <w:kern w:val="2"/>
          <w:szCs w:val="24"/>
        </w:rPr>
        <w:t>实用原则</w:t>
      </w:r>
    </w:p>
    <w:p>
      <w:pPr>
        <w:ind w:firstLine="480"/>
        <w:rPr>
          <w:rFonts w:ascii="宋体" w:hAnsi="宋体" w:cs="宋体"/>
          <w:color w:val="auto"/>
          <w:szCs w:val="24"/>
        </w:rPr>
      </w:pPr>
      <w:r>
        <w:rPr>
          <w:rFonts w:hint="eastAsia" w:ascii="宋体" w:hAnsi="宋体" w:cs="宋体"/>
          <w:color w:val="auto"/>
          <w:kern w:val="2"/>
          <w:szCs w:val="24"/>
        </w:rPr>
        <w:t>以满足实际应用需求为原则，坚持先进，兼容传统，实现系统集成、系统互联、资源整合与信息共享。把实用性放在第一位，边建设边应用，把系统建设成“实用工程”。</w:t>
      </w:r>
    </w:p>
    <w:p>
      <w:pPr>
        <w:numPr>
          <w:ilvl w:val="0"/>
          <w:numId w:val="3"/>
        </w:numPr>
        <w:ind w:left="0" w:firstLine="482" w:firstLineChars="200"/>
        <w:jc w:val="both"/>
        <w:rPr>
          <w:rFonts w:ascii="宋体" w:hAnsi="宋体" w:cs="宋体"/>
          <w:b/>
          <w:color w:val="auto"/>
          <w:szCs w:val="24"/>
        </w:rPr>
      </w:pPr>
      <w:r>
        <w:rPr>
          <w:rFonts w:hint="eastAsia" w:ascii="宋体" w:hAnsi="宋体" w:cs="宋体"/>
          <w:b/>
          <w:color w:val="auto"/>
          <w:kern w:val="2"/>
          <w:szCs w:val="24"/>
        </w:rPr>
        <w:t>安全原则</w:t>
      </w:r>
    </w:p>
    <w:p>
      <w:pPr>
        <w:ind w:firstLine="480"/>
        <w:rPr>
          <w:rFonts w:ascii="宋体" w:hAnsi="宋体" w:cs="宋体"/>
          <w:color w:val="auto"/>
          <w:szCs w:val="24"/>
        </w:rPr>
      </w:pPr>
      <w:r>
        <w:rPr>
          <w:rFonts w:hint="eastAsia" w:ascii="宋体" w:hAnsi="宋体" w:cs="宋体"/>
          <w:color w:val="auto"/>
          <w:kern w:val="2"/>
          <w:szCs w:val="24"/>
        </w:rPr>
        <w:t>网络环境下信息传输和数据存储注重安全，保障系统网络的安全可靠性，避免遭到恶意攻击和数据被非法提取的现象出现。</w:t>
      </w:r>
    </w:p>
    <w:p>
      <w:pPr>
        <w:numPr>
          <w:ilvl w:val="0"/>
          <w:numId w:val="3"/>
        </w:numPr>
        <w:ind w:left="0" w:firstLine="482" w:firstLineChars="200"/>
        <w:jc w:val="both"/>
        <w:rPr>
          <w:rFonts w:ascii="宋体" w:hAnsi="宋体" w:cs="宋体"/>
          <w:b/>
          <w:color w:val="auto"/>
          <w:szCs w:val="24"/>
        </w:rPr>
      </w:pPr>
      <w:r>
        <w:rPr>
          <w:rFonts w:hint="eastAsia" w:ascii="宋体" w:hAnsi="宋体" w:cs="宋体"/>
          <w:b/>
          <w:color w:val="auto"/>
          <w:kern w:val="2"/>
          <w:szCs w:val="24"/>
        </w:rPr>
        <w:t>开放性原则</w:t>
      </w:r>
    </w:p>
    <w:p>
      <w:pPr>
        <w:ind w:firstLine="480"/>
        <w:rPr>
          <w:rFonts w:ascii="宋体" w:hAnsi="宋体" w:cs="宋体"/>
          <w:color w:val="auto"/>
          <w:szCs w:val="24"/>
        </w:rPr>
      </w:pPr>
      <w:r>
        <w:rPr>
          <w:rFonts w:hint="eastAsia" w:ascii="宋体" w:hAnsi="宋体" w:cs="宋体"/>
          <w:color w:val="auto"/>
          <w:kern w:val="2"/>
          <w:szCs w:val="24"/>
        </w:rPr>
        <w:t>系统建设必须按照开放性和标准性原则设计；提供全套的技术资料和全面的技术培训，以满足系统与其它系统协同运行以及系统功能扩展的需求。</w:t>
      </w:r>
    </w:p>
    <w:p>
      <w:pPr>
        <w:numPr>
          <w:ilvl w:val="0"/>
          <w:numId w:val="3"/>
        </w:numPr>
        <w:ind w:left="0" w:firstLine="482" w:firstLineChars="200"/>
        <w:jc w:val="both"/>
        <w:rPr>
          <w:rFonts w:ascii="宋体" w:hAnsi="宋体" w:cs="宋体"/>
          <w:b/>
          <w:color w:val="auto"/>
          <w:szCs w:val="24"/>
        </w:rPr>
      </w:pPr>
      <w:r>
        <w:rPr>
          <w:rFonts w:hint="eastAsia" w:ascii="宋体" w:hAnsi="宋体" w:cs="宋体"/>
          <w:b/>
          <w:color w:val="auto"/>
          <w:kern w:val="2"/>
          <w:szCs w:val="24"/>
        </w:rPr>
        <w:t>扩展性原则</w:t>
      </w:r>
    </w:p>
    <w:p>
      <w:pPr>
        <w:ind w:firstLine="480"/>
        <w:rPr>
          <w:rFonts w:ascii="宋体" w:hAnsi="宋体" w:cs="宋体"/>
          <w:color w:val="auto"/>
          <w:szCs w:val="24"/>
        </w:rPr>
      </w:pPr>
      <w:r>
        <w:rPr>
          <w:rFonts w:hint="eastAsia" w:ascii="宋体" w:hAnsi="宋体" w:cs="宋体"/>
          <w:color w:val="auto"/>
          <w:kern w:val="2"/>
          <w:szCs w:val="24"/>
        </w:rPr>
        <w:t>技术选型除了考虑先进、实用，还必须考虑系统的扩展性，系统容量应该有可持续发展的考虑。</w:t>
      </w:r>
    </w:p>
    <w:p>
      <w:pPr>
        <w:numPr>
          <w:ilvl w:val="0"/>
          <w:numId w:val="3"/>
        </w:numPr>
        <w:ind w:left="0" w:firstLine="482" w:firstLineChars="200"/>
        <w:jc w:val="both"/>
        <w:rPr>
          <w:rFonts w:ascii="宋体" w:hAnsi="宋体" w:cs="宋体"/>
          <w:b/>
          <w:color w:val="auto"/>
          <w:szCs w:val="24"/>
        </w:rPr>
      </w:pPr>
      <w:r>
        <w:rPr>
          <w:rFonts w:hint="eastAsia" w:ascii="宋体" w:hAnsi="宋体" w:cs="宋体"/>
          <w:b/>
          <w:color w:val="auto"/>
          <w:kern w:val="2"/>
          <w:szCs w:val="24"/>
        </w:rPr>
        <w:t>稳定性原则</w:t>
      </w:r>
    </w:p>
    <w:p>
      <w:pPr>
        <w:ind w:firstLine="480"/>
        <w:rPr>
          <w:rFonts w:ascii="宋体" w:hAnsi="宋体" w:cs="宋体"/>
          <w:color w:val="auto"/>
          <w:szCs w:val="24"/>
        </w:rPr>
      </w:pPr>
      <w:r>
        <w:rPr>
          <w:rFonts w:hint="eastAsia" w:ascii="宋体" w:hAnsi="宋体" w:cs="宋体"/>
          <w:color w:val="auto"/>
          <w:kern w:val="2"/>
          <w:szCs w:val="24"/>
        </w:rPr>
        <w:t>从系统结构、技术措施、设备性能、系统管理、厂商技术支持及维修能力等方面保障系统的可靠性和稳定性。</w:t>
      </w:r>
    </w:p>
    <w:p>
      <w:pPr>
        <w:numPr>
          <w:ilvl w:val="0"/>
          <w:numId w:val="3"/>
        </w:numPr>
        <w:ind w:left="0" w:firstLine="482" w:firstLineChars="200"/>
        <w:jc w:val="both"/>
        <w:rPr>
          <w:rFonts w:ascii="宋体" w:hAnsi="宋体" w:cs="宋体"/>
          <w:b/>
          <w:color w:val="auto"/>
          <w:szCs w:val="24"/>
        </w:rPr>
      </w:pPr>
      <w:r>
        <w:rPr>
          <w:rFonts w:hint="eastAsia" w:ascii="宋体" w:hAnsi="宋体" w:cs="宋体"/>
          <w:b/>
          <w:color w:val="auto"/>
          <w:kern w:val="2"/>
          <w:szCs w:val="24"/>
        </w:rPr>
        <w:t>易操作原则</w:t>
      </w:r>
    </w:p>
    <w:p>
      <w:pPr>
        <w:pStyle w:val="17"/>
        <w:spacing w:before="0" w:beforeAutospacing="0" w:after="0" w:afterAutospacing="0"/>
        <w:ind w:firstLine="480" w:firstLineChars="200"/>
        <w:rPr>
          <w:rFonts w:hAnsi="宋体" w:cs="宋体"/>
          <w:color w:val="auto"/>
          <w:szCs w:val="24"/>
        </w:rPr>
      </w:pPr>
      <w:r>
        <w:rPr>
          <w:rFonts w:hint="eastAsia" w:hAnsi="宋体" w:cs="宋体"/>
          <w:color w:val="auto"/>
          <w:szCs w:val="24"/>
        </w:rPr>
        <w:t>强调以人为本的设计思想，适应多功能、外向型的需求，对于来自内外的各种信息进行收集、处理、存储、传输、检索、查询，为实际使用者和管理者提供有效的信息服务和充分的决策依据，为用户和管理人员提供安全、舒适、方便、快捷、高效、节约的工作和办公环境。</w:t>
      </w:r>
    </w:p>
    <w:p>
      <w:pPr>
        <w:numPr>
          <w:ilvl w:val="0"/>
          <w:numId w:val="3"/>
        </w:numPr>
        <w:ind w:left="0" w:firstLine="482" w:firstLineChars="200"/>
        <w:jc w:val="both"/>
        <w:rPr>
          <w:rFonts w:ascii="宋体" w:hAnsi="宋体" w:cs="宋体"/>
          <w:b/>
          <w:color w:val="auto"/>
          <w:szCs w:val="24"/>
        </w:rPr>
      </w:pPr>
      <w:r>
        <w:rPr>
          <w:rFonts w:hint="eastAsia" w:ascii="宋体" w:hAnsi="宋体" w:cs="宋体"/>
          <w:b/>
          <w:color w:val="auto"/>
          <w:kern w:val="2"/>
          <w:szCs w:val="24"/>
        </w:rPr>
        <w:t>可维护性原则</w:t>
      </w:r>
    </w:p>
    <w:p>
      <w:pPr>
        <w:pStyle w:val="17"/>
        <w:spacing w:before="0" w:beforeAutospacing="0" w:after="0" w:afterAutospacing="0"/>
        <w:ind w:firstLine="480" w:firstLineChars="200"/>
        <w:rPr>
          <w:rFonts w:hAnsi="宋体" w:cs="宋体"/>
          <w:color w:val="auto"/>
          <w:szCs w:val="24"/>
        </w:rPr>
      </w:pPr>
      <w:r>
        <w:rPr>
          <w:rFonts w:hint="eastAsia" w:hAnsi="宋体" w:cs="宋体"/>
          <w:color w:val="auto"/>
          <w:szCs w:val="24"/>
        </w:rPr>
        <w:t>系统应具备自检、故障诊断及故障弱化功能，在出现故障时，应能得到及时、快速的修复。</w:t>
      </w:r>
    </w:p>
    <w:p>
      <w:pPr>
        <w:numPr>
          <w:ilvl w:val="0"/>
          <w:numId w:val="3"/>
        </w:numPr>
        <w:ind w:left="0" w:firstLine="482" w:firstLineChars="200"/>
        <w:jc w:val="both"/>
        <w:rPr>
          <w:rFonts w:ascii="宋体" w:hAnsi="宋体" w:cs="宋体"/>
          <w:b/>
          <w:color w:val="auto"/>
          <w:szCs w:val="24"/>
        </w:rPr>
      </w:pPr>
      <w:bookmarkStart w:id="7" w:name="_Toc480982528"/>
      <w:bookmarkStart w:id="8" w:name="_Toc476309370"/>
      <w:r>
        <w:rPr>
          <w:rFonts w:hint="eastAsia" w:ascii="宋体" w:hAnsi="宋体" w:cs="宋体"/>
          <w:b/>
          <w:color w:val="auto"/>
          <w:kern w:val="2"/>
          <w:szCs w:val="24"/>
        </w:rPr>
        <w:t>经济</w:t>
      </w:r>
      <w:bookmarkEnd w:id="7"/>
      <w:bookmarkEnd w:id="8"/>
      <w:r>
        <w:rPr>
          <w:rFonts w:hint="eastAsia" w:ascii="宋体" w:hAnsi="宋体" w:cs="宋体"/>
          <w:b/>
          <w:color w:val="auto"/>
          <w:kern w:val="2"/>
          <w:szCs w:val="24"/>
        </w:rPr>
        <w:t>原则</w:t>
      </w:r>
    </w:p>
    <w:p>
      <w:pPr>
        <w:pStyle w:val="17"/>
        <w:spacing w:before="0" w:beforeAutospacing="0" w:after="0" w:afterAutospacing="0"/>
        <w:ind w:firstLine="480" w:firstLineChars="200"/>
        <w:rPr>
          <w:rFonts w:hAnsi="宋体" w:cs="宋体"/>
          <w:color w:val="auto"/>
          <w:szCs w:val="24"/>
        </w:rPr>
      </w:pPr>
      <w:r>
        <w:rPr>
          <w:rFonts w:hint="eastAsia" w:hAnsi="宋体" w:cs="宋体"/>
          <w:color w:val="auto"/>
          <w:szCs w:val="24"/>
        </w:rPr>
        <w:t>在实现先进性和可靠性的前提下，以经济优化的设计达到较高的性价比。在确保用户需求、系统集成要求的前提下充分考虑现有设备的利旧使用。</w:t>
      </w:r>
    </w:p>
    <w:p>
      <w:pPr>
        <w:numPr>
          <w:ilvl w:val="0"/>
          <w:numId w:val="3"/>
        </w:numPr>
        <w:ind w:left="0" w:firstLine="482" w:firstLineChars="200"/>
        <w:jc w:val="both"/>
        <w:rPr>
          <w:rFonts w:ascii="宋体" w:hAnsi="宋体" w:cs="宋体"/>
          <w:b/>
          <w:color w:val="auto"/>
          <w:szCs w:val="24"/>
        </w:rPr>
      </w:pPr>
      <w:r>
        <w:rPr>
          <w:rFonts w:hint="eastAsia" w:ascii="宋体" w:hAnsi="宋体" w:cs="宋体"/>
          <w:b/>
          <w:color w:val="auto"/>
          <w:kern w:val="2"/>
          <w:szCs w:val="24"/>
        </w:rPr>
        <w:t>先进性</w:t>
      </w:r>
    </w:p>
    <w:p>
      <w:pPr>
        <w:ind w:firstLine="480"/>
        <w:rPr>
          <w:rFonts w:ascii="宋体" w:hAnsi="宋体" w:cs="宋体"/>
          <w:color w:val="auto"/>
          <w:szCs w:val="24"/>
        </w:rPr>
      </w:pPr>
      <w:r>
        <w:rPr>
          <w:rFonts w:hint="eastAsia" w:ascii="宋体" w:hAnsi="宋体" w:cs="宋体"/>
          <w:color w:val="auto"/>
          <w:kern w:val="2"/>
          <w:szCs w:val="24"/>
        </w:rPr>
        <w:t>系统的架构和技术均符合高新技术的发展趋势，在满足功能的前提下，能够在今后一定时间内保持系统的先进性。</w:t>
      </w:r>
    </w:p>
    <w:p>
      <w:pPr>
        <w:numPr>
          <w:ilvl w:val="0"/>
          <w:numId w:val="3"/>
        </w:numPr>
        <w:ind w:left="0" w:firstLine="482" w:firstLineChars="200"/>
        <w:jc w:val="both"/>
        <w:rPr>
          <w:rFonts w:ascii="宋体" w:hAnsi="宋体" w:cs="宋体"/>
          <w:b/>
          <w:color w:val="auto"/>
          <w:szCs w:val="24"/>
        </w:rPr>
      </w:pPr>
      <w:r>
        <w:rPr>
          <w:rFonts w:hint="eastAsia" w:ascii="宋体" w:hAnsi="宋体" w:cs="宋体"/>
          <w:b/>
          <w:color w:val="auto"/>
          <w:kern w:val="2"/>
          <w:szCs w:val="24"/>
        </w:rPr>
        <w:t>标准性</w:t>
      </w:r>
    </w:p>
    <w:p>
      <w:pPr>
        <w:ind w:firstLine="480"/>
        <w:rPr>
          <w:rFonts w:ascii="宋体" w:hAnsi="宋体" w:cs="宋体"/>
          <w:color w:val="FF0000"/>
          <w:szCs w:val="24"/>
        </w:rPr>
      </w:pPr>
      <w:r>
        <w:rPr>
          <w:rFonts w:hint="eastAsia" w:ascii="宋体" w:hAnsi="宋体" w:cs="宋体"/>
          <w:color w:val="auto"/>
          <w:kern w:val="2"/>
          <w:szCs w:val="24"/>
        </w:rPr>
        <w:t>系统的标准化程度越高、开放性越好，则系统的生命周期越长。控制协议、传输协议、接口协议、视音频编解码、视音频文件格式等需要符合相关国家标准或行业标准的规定。</w:t>
      </w:r>
    </w:p>
    <w:p>
      <w:pPr>
        <w:pStyle w:val="3"/>
        <w:spacing w:line="360" w:lineRule="auto"/>
        <w:rPr>
          <w:rFonts w:ascii="宋体" w:hAnsi="宋体" w:eastAsia="宋体" w:cs="宋体"/>
          <w:color w:val="auto"/>
        </w:rPr>
      </w:pPr>
      <w:r>
        <w:rPr>
          <w:rFonts w:hint="eastAsia" w:ascii="宋体" w:hAnsi="宋体" w:eastAsia="宋体" w:cs="宋体"/>
          <w:color w:val="auto"/>
        </w:rPr>
        <w:t>建设周期</w:t>
      </w:r>
    </w:p>
    <w:p>
      <w:pPr>
        <w:ind w:firstLine="480" w:firstLineChars="200"/>
        <w:rPr>
          <w:rFonts w:ascii="宋体" w:hAnsi="宋体" w:cs="宋体"/>
          <w:color w:val="FF0000"/>
        </w:rPr>
      </w:pPr>
      <w:r>
        <w:rPr>
          <w:rFonts w:hint="eastAsia" w:ascii="宋体" w:hAnsi="宋体" w:cs="宋体"/>
          <w:kern w:val="2"/>
          <w:szCs w:val="24"/>
          <w:u w:val="single"/>
        </w:rPr>
        <w:t>自合同签订之日起30日历天内</w:t>
      </w:r>
      <w:r>
        <w:rPr>
          <w:rFonts w:hint="eastAsia" w:ascii="宋体" w:hAnsi="宋体" w:cs="宋体"/>
        </w:rPr>
        <w:t>。</w:t>
      </w:r>
    </w:p>
    <w:p>
      <w:pPr>
        <w:pStyle w:val="2"/>
        <w:spacing w:line="360" w:lineRule="auto"/>
        <w:rPr>
          <w:rFonts w:ascii="宋体" w:hAnsi="宋体" w:cs="宋体"/>
          <w:color w:val="auto"/>
        </w:rPr>
      </w:pPr>
      <w:r>
        <w:rPr>
          <w:rFonts w:hint="eastAsia" w:ascii="宋体" w:hAnsi="宋体" w:cs="宋体"/>
          <w:color w:val="auto"/>
        </w:rPr>
        <w:t>总体要求</w:t>
      </w:r>
    </w:p>
    <w:p>
      <w:pPr>
        <w:pStyle w:val="3"/>
        <w:spacing w:line="360" w:lineRule="auto"/>
        <w:rPr>
          <w:rFonts w:ascii="宋体" w:hAnsi="宋体" w:eastAsia="宋体" w:cs="宋体"/>
          <w:color w:val="auto"/>
        </w:rPr>
      </w:pPr>
      <w:r>
        <w:rPr>
          <w:rFonts w:hint="eastAsia" w:ascii="宋体" w:hAnsi="宋体" w:eastAsia="宋体" w:cs="宋体"/>
          <w:color w:val="auto"/>
          <w:lang w:val="en-US" w:eastAsia="zh-CN"/>
        </w:rPr>
        <w:t>点位表</w:t>
      </w:r>
    </w:p>
    <w:tbl>
      <w:tblPr>
        <w:tblStyle w:val="19"/>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40"/>
        <w:gridCol w:w="3136"/>
        <w:gridCol w:w="1734"/>
        <w:gridCol w:w="1918"/>
        <w:gridCol w:w="19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序号</w:t>
            </w:r>
          </w:p>
        </w:tc>
        <w:tc>
          <w:tcPr>
            <w:tcW w:w="1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名称</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安检机</w:t>
            </w:r>
          </w:p>
        </w:tc>
        <w:tc>
          <w:tcPr>
            <w:tcW w:w="9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安检门</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新增/利旧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Arial" w:hAnsi="Arial" w:cs="Arial"/>
                <w:i w:val="0"/>
                <w:iCs w:val="0"/>
                <w:color w:val="000000"/>
                <w:sz w:val="20"/>
                <w:szCs w:val="20"/>
                <w:u w:val="none"/>
              </w:rPr>
            </w:pPr>
            <w:r>
              <w:rPr>
                <w:rFonts w:hint="eastAsia" w:ascii="Arial" w:hAnsi="Arial" w:cs="Arial"/>
                <w:i w:val="0"/>
                <w:iCs w:val="0"/>
                <w:color w:val="000000"/>
                <w:kern w:val="0"/>
                <w:sz w:val="20"/>
                <w:szCs w:val="20"/>
                <w:u w:val="none"/>
                <w:lang w:val="en-US" w:eastAsia="zh-CN" w:bidi="ar"/>
              </w:rPr>
              <w:t>1</w:t>
            </w:r>
          </w:p>
        </w:tc>
        <w:tc>
          <w:tcPr>
            <w:tcW w:w="1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门诊楼</w:t>
            </w:r>
            <w:r>
              <w:rPr>
                <w:rStyle w:val="41"/>
                <w:rFonts w:hint="eastAsia"/>
                <w:lang w:val="en-US" w:eastAsia="zh-CN" w:bidi="ar"/>
              </w:rPr>
              <w:t>一</w:t>
            </w:r>
            <w:r>
              <w:rPr>
                <w:rFonts w:hint="eastAsia" w:ascii="宋体" w:hAnsi="宋体" w:eastAsia="宋体" w:cs="宋体"/>
                <w:i w:val="0"/>
                <w:iCs w:val="0"/>
                <w:color w:val="000000"/>
                <w:kern w:val="0"/>
                <w:sz w:val="21"/>
                <w:szCs w:val="21"/>
                <w:u w:val="none"/>
                <w:lang w:val="en-US" w:eastAsia="zh-CN" w:bidi="ar"/>
              </w:rPr>
              <w:t>楼</w:t>
            </w:r>
            <w:r>
              <w:rPr>
                <w:rFonts w:hint="eastAsia" w:ascii="宋体" w:hAnsi="宋体" w:cs="宋体"/>
                <w:i w:val="0"/>
                <w:iCs w:val="0"/>
                <w:color w:val="000000"/>
                <w:kern w:val="0"/>
                <w:sz w:val="21"/>
                <w:szCs w:val="21"/>
                <w:u w:val="none"/>
                <w:lang w:val="en-US" w:eastAsia="zh-CN" w:bidi="ar"/>
              </w:rPr>
              <w:t>大厅</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Arial" w:hAnsi="Arial" w:cs="Arial"/>
                <w:i w:val="0"/>
                <w:iCs w:val="0"/>
                <w:color w:val="000000"/>
                <w:kern w:val="0"/>
                <w:sz w:val="20"/>
                <w:szCs w:val="20"/>
                <w:u w:val="none"/>
                <w:lang w:val="en-US" w:eastAsia="zh-CN" w:bidi="ar"/>
              </w:rPr>
              <w:t>1</w:t>
            </w:r>
          </w:p>
        </w:tc>
        <w:tc>
          <w:tcPr>
            <w:tcW w:w="9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Arial" w:hAnsi="Arial" w:cs="Arial"/>
                <w:i w:val="0"/>
                <w:iCs w:val="0"/>
                <w:color w:val="000000"/>
                <w:kern w:val="0"/>
                <w:sz w:val="20"/>
                <w:szCs w:val="20"/>
                <w:u w:val="none"/>
                <w:lang w:val="en-US" w:eastAsia="zh-CN" w:bidi="ar"/>
              </w:rPr>
              <w:t>1</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cs="宋体"/>
                <w:i w:val="0"/>
                <w:iCs w:val="0"/>
                <w:color w:val="000000"/>
                <w:sz w:val="20"/>
                <w:szCs w:val="20"/>
                <w:u w:val="none"/>
                <w:lang w:val="en-US" w:eastAsia="zh-CN"/>
              </w:rPr>
              <w:t>利旧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Arial" w:hAnsi="Arial" w:cs="Arial"/>
                <w:i w:val="0"/>
                <w:iCs w:val="0"/>
                <w:color w:val="000000"/>
                <w:kern w:val="0"/>
                <w:sz w:val="20"/>
                <w:szCs w:val="20"/>
                <w:u w:val="none"/>
                <w:lang w:val="en-US" w:eastAsia="zh-CN" w:bidi="ar"/>
              </w:rPr>
              <w:t>2</w:t>
            </w:r>
          </w:p>
        </w:tc>
        <w:tc>
          <w:tcPr>
            <w:tcW w:w="1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门诊负二楼出入口</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Arial" w:hAnsi="Arial" w:cs="Arial"/>
                <w:i w:val="0"/>
                <w:iCs w:val="0"/>
                <w:color w:val="000000"/>
                <w:kern w:val="0"/>
                <w:sz w:val="20"/>
                <w:szCs w:val="20"/>
                <w:u w:val="none"/>
                <w:lang w:val="en-US" w:eastAsia="zh-CN" w:bidi="ar"/>
              </w:rPr>
              <w:t>1</w:t>
            </w:r>
          </w:p>
        </w:tc>
        <w:tc>
          <w:tcPr>
            <w:tcW w:w="9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Arial" w:hAnsi="Arial" w:cs="Arial"/>
                <w:i w:val="0"/>
                <w:iCs w:val="0"/>
                <w:color w:val="000000"/>
                <w:kern w:val="0"/>
                <w:sz w:val="20"/>
                <w:szCs w:val="20"/>
                <w:u w:val="none"/>
                <w:lang w:val="en-US" w:eastAsia="zh-CN" w:bidi="ar"/>
              </w:rPr>
              <w:t>1</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cs="宋体"/>
                <w:i w:val="0"/>
                <w:iCs w:val="0"/>
                <w:color w:val="000000"/>
                <w:sz w:val="20"/>
                <w:szCs w:val="20"/>
                <w:u w:val="none"/>
                <w:lang w:val="en-US" w:eastAsia="zh-CN"/>
              </w:rPr>
              <w:t>新增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Arial" w:hAnsi="Arial" w:cs="Arial"/>
                <w:i w:val="0"/>
                <w:iCs w:val="0"/>
                <w:color w:val="000000"/>
                <w:kern w:val="0"/>
                <w:sz w:val="20"/>
                <w:szCs w:val="20"/>
                <w:u w:val="none"/>
                <w:lang w:val="en-US" w:eastAsia="zh-CN" w:bidi="ar"/>
              </w:rPr>
              <w:t>3</w:t>
            </w:r>
          </w:p>
        </w:tc>
        <w:tc>
          <w:tcPr>
            <w:tcW w:w="1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急诊出入口</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Arial" w:hAnsi="Arial" w:cs="Arial"/>
                <w:i w:val="0"/>
                <w:iCs w:val="0"/>
                <w:color w:val="000000"/>
                <w:kern w:val="0"/>
                <w:sz w:val="20"/>
                <w:szCs w:val="20"/>
                <w:u w:val="none"/>
                <w:lang w:val="en-US" w:eastAsia="zh-CN" w:bidi="ar"/>
              </w:rPr>
              <w:t>1</w:t>
            </w:r>
          </w:p>
        </w:tc>
        <w:tc>
          <w:tcPr>
            <w:tcW w:w="9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cs="宋体"/>
                <w:i w:val="0"/>
                <w:iCs w:val="0"/>
                <w:color w:val="000000"/>
                <w:sz w:val="20"/>
                <w:szCs w:val="20"/>
                <w:u w:val="none"/>
                <w:lang w:val="en-US" w:eastAsia="zh-CN"/>
              </w:rPr>
              <w:t>新增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Arial" w:hAnsi="Arial" w:cs="Arial"/>
                <w:i w:val="0"/>
                <w:iCs w:val="0"/>
                <w:color w:val="000000"/>
                <w:kern w:val="0"/>
                <w:sz w:val="20"/>
                <w:szCs w:val="20"/>
                <w:u w:val="none"/>
                <w:lang w:val="en-US" w:eastAsia="zh-CN" w:bidi="ar"/>
              </w:rPr>
              <w:t>4</w:t>
            </w:r>
          </w:p>
        </w:tc>
        <w:tc>
          <w:tcPr>
            <w:tcW w:w="1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住院楼出入口</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Arial" w:hAnsi="Arial" w:cs="Arial"/>
                <w:i w:val="0"/>
                <w:iCs w:val="0"/>
                <w:color w:val="000000"/>
                <w:kern w:val="0"/>
                <w:sz w:val="20"/>
                <w:szCs w:val="20"/>
                <w:u w:val="none"/>
                <w:lang w:val="en-US" w:eastAsia="zh-CN" w:bidi="ar"/>
              </w:rPr>
              <w:t>1（大口径）</w:t>
            </w:r>
          </w:p>
        </w:tc>
        <w:tc>
          <w:tcPr>
            <w:tcW w:w="9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Arial" w:hAnsi="Arial" w:cs="Arial"/>
                <w:i w:val="0"/>
                <w:iCs w:val="0"/>
                <w:color w:val="000000"/>
                <w:kern w:val="0"/>
                <w:sz w:val="20"/>
                <w:szCs w:val="20"/>
                <w:u w:val="none"/>
                <w:lang w:val="en-US" w:eastAsia="zh-CN" w:bidi="ar"/>
              </w:rPr>
              <w:t>1</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cs="宋体"/>
                <w:i w:val="0"/>
                <w:iCs w:val="0"/>
                <w:color w:val="000000"/>
                <w:sz w:val="20"/>
                <w:szCs w:val="20"/>
                <w:u w:val="none"/>
                <w:lang w:val="en-US" w:eastAsia="zh-CN"/>
              </w:rPr>
              <w:t>新增</w:t>
            </w:r>
          </w:p>
        </w:tc>
      </w:tr>
    </w:tbl>
    <w:p>
      <w:pPr>
        <w:pStyle w:val="4"/>
        <w:ind w:left="0" w:leftChars="0" w:firstLine="0" w:firstLineChars="0"/>
        <w:rPr>
          <w:color w:val="auto"/>
        </w:rPr>
      </w:pPr>
    </w:p>
    <w:p>
      <w:pPr>
        <w:pStyle w:val="3"/>
        <w:spacing w:line="360" w:lineRule="auto"/>
        <w:rPr>
          <w:rFonts w:ascii="宋体" w:hAnsi="宋体" w:eastAsia="宋体" w:cs="宋体"/>
          <w:color w:val="auto"/>
        </w:rPr>
      </w:pPr>
      <w:r>
        <w:rPr>
          <w:rFonts w:hint="eastAsia" w:ascii="宋体" w:hAnsi="宋体" w:eastAsia="宋体" w:cs="宋体"/>
          <w:color w:val="auto"/>
        </w:rPr>
        <w:t>建设内容</w:t>
      </w:r>
    </w:p>
    <w:p>
      <w:pPr>
        <w:pStyle w:val="5"/>
        <w:bidi w:val="0"/>
        <w:rPr>
          <w:color w:val="auto"/>
        </w:rPr>
      </w:pPr>
      <w:r>
        <w:rPr>
          <w:rFonts w:hint="eastAsia"/>
          <w:color w:val="auto"/>
          <w:lang w:val="en-US" w:eastAsia="zh-CN"/>
        </w:rPr>
        <w:t>门诊大厅</w:t>
      </w:r>
    </w:p>
    <w:p>
      <w:pPr>
        <w:pStyle w:val="38"/>
        <w:numPr>
          <w:ilvl w:val="0"/>
          <w:numId w:val="4"/>
        </w:numPr>
        <w:spacing w:line="360" w:lineRule="auto"/>
        <w:ind w:left="420" w:leftChars="0" w:hanging="420" w:firstLineChars="0"/>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在门诊楼入口内侧安装安检门（利旧）；</w:t>
      </w:r>
    </w:p>
    <w:p>
      <w:pPr>
        <w:pStyle w:val="38"/>
        <w:numPr>
          <w:ilvl w:val="0"/>
          <w:numId w:val="4"/>
        </w:numPr>
        <w:spacing w:line="360" w:lineRule="auto"/>
        <w:ind w:left="420" w:leftChars="0" w:hanging="420" w:firstLineChars="0"/>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在门诊楼入口内侧安装安检机（利旧）；</w:t>
      </w:r>
    </w:p>
    <w:p>
      <w:pPr>
        <w:pStyle w:val="5"/>
        <w:bidi w:val="0"/>
        <w:rPr>
          <w:rFonts w:hint="eastAsia"/>
          <w:color w:val="auto"/>
          <w:lang w:val="en-US" w:eastAsia="zh-CN"/>
        </w:rPr>
      </w:pPr>
      <w:r>
        <w:rPr>
          <w:rFonts w:hint="eastAsia"/>
          <w:color w:val="auto"/>
          <w:lang w:val="en-US" w:eastAsia="zh-CN"/>
        </w:rPr>
        <w:t>门诊负二楼出入口</w:t>
      </w:r>
    </w:p>
    <w:p>
      <w:pPr>
        <w:pStyle w:val="4"/>
        <w:numPr>
          <w:ilvl w:val="0"/>
          <w:numId w:val="5"/>
        </w:numPr>
        <w:ind w:left="420" w:leftChars="0" w:hanging="420" w:firstLineChars="0"/>
        <w:rPr>
          <w:rFonts w:hint="eastAsia"/>
          <w:color w:val="auto"/>
          <w:lang w:val="en-US" w:eastAsia="zh-CN"/>
        </w:rPr>
      </w:pPr>
      <w:r>
        <w:rPr>
          <w:rFonts w:hint="eastAsia"/>
          <w:color w:val="auto"/>
          <w:lang w:val="en-US" w:eastAsia="zh-CN"/>
        </w:rPr>
        <w:t>在门诊楼入口外侧安装安检门（新增）；</w:t>
      </w:r>
    </w:p>
    <w:p>
      <w:pPr>
        <w:pStyle w:val="4"/>
        <w:numPr>
          <w:ilvl w:val="0"/>
          <w:numId w:val="5"/>
        </w:numPr>
        <w:ind w:left="420" w:leftChars="0" w:hanging="420" w:firstLineChars="0"/>
        <w:rPr>
          <w:rFonts w:hint="eastAsia"/>
          <w:color w:val="auto"/>
          <w:lang w:val="en-US" w:eastAsia="zh-CN"/>
        </w:rPr>
      </w:pPr>
      <w:r>
        <w:rPr>
          <w:rFonts w:hint="eastAsia"/>
          <w:color w:val="auto"/>
          <w:lang w:val="en-US" w:eastAsia="zh-CN"/>
        </w:rPr>
        <w:t>在门诊楼入口外侧安装安检机（新增）；</w:t>
      </w:r>
    </w:p>
    <w:p>
      <w:pPr>
        <w:pStyle w:val="5"/>
        <w:bidi w:val="0"/>
        <w:rPr>
          <w:rFonts w:hint="eastAsia"/>
          <w:color w:val="auto"/>
          <w:lang w:val="en-US" w:eastAsia="zh-CN"/>
        </w:rPr>
      </w:pPr>
      <w:r>
        <w:rPr>
          <w:rFonts w:hint="eastAsia"/>
          <w:color w:val="auto"/>
          <w:lang w:val="en-US" w:eastAsia="zh-CN"/>
        </w:rPr>
        <w:t>急诊出入口</w:t>
      </w:r>
    </w:p>
    <w:p>
      <w:pPr>
        <w:pStyle w:val="4"/>
        <w:numPr>
          <w:ilvl w:val="0"/>
          <w:numId w:val="6"/>
        </w:numPr>
        <w:ind w:left="420" w:leftChars="0" w:hanging="420" w:firstLineChars="0"/>
        <w:rPr>
          <w:rFonts w:hint="eastAsia" w:eastAsia="宋体"/>
          <w:color w:val="auto"/>
          <w:lang w:eastAsia="zh-CN"/>
        </w:rPr>
      </w:pPr>
      <w:r>
        <w:rPr>
          <w:rFonts w:hint="eastAsia" w:eastAsia="宋体"/>
          <w:color w:val="auto"/>
          <w:lang w:eastAsia="zh-CN"/>
        </w:rPr>
        <w:t>在急诊入口外侧安装安检门（新增）；</w:t>
      </w:r>
    </w:p>
    <w:p>
      <w:pPr>
        <w:pStyle w:val="4"/>
        <w:numPr>
          <w:ilvl w:val="0"/>
          <w:numId w:val="6"/>
        </w:numPr>
        <w:ind w:left="420" w:leftChars="0" w:hanging="420" w:firstLineChars="0"/>
        <w:rPr>
          <w:rFonts w:hint="eastAsia" w:eastAsia="宋体"/>
          <w:color w:val="auto"/>
          <w:lang w:eastAsia="zh-CN"/>
        </w:rPr>
      </w:pPr>
      <w:r>
        <w:rPr>
          <w:rFonts w:hint="eastAsia" w:eastAsia="宋体"/>
          <w:color w:val="auto"/>
          <w:lang w:eastAsia="zh-CN"/>
        </w:rPr>
        <w:t>在急诊入口外侧安装安检机（新增）；</w:t>
      </w:r>
    </w:p>
    <w:p>
      <w:pPr>
        <w:pStyle w:val="5"/>
        <w:bidi w:val="0"/>
        <w:rPr>
          <w:rFonts w:hint="eastAsia"/>
          <w:color w:val="auto"/>
          <w:lang w:val="en-US" w:eastAsia="zh-CN"/>
        </w:rPr>
      </w:pPr>
      <w:r>
        <w:rPr>
          <w:rFonts w:hint="eastAsia"/>
          <w:color w:val="auto"/>
          <w:lang w:val="en-US" w:eastAsia="zh-CN"/>
        </w:rPr>
        <w:t>住院楼出入口</w:t>
      </w:r>
    </w:p>
    <w:p>
      <w:pPr>
        <w:pStyle w:val="38"/>
        <w:numPr>
          <w:ilvl w:val="0"/>
          <w:numId w:val="7"/>
        </w:numPr>
        <w:spacing w:line="360" w:lineRule="auto"/>
        <w:ind w:left="420" w:leftChars="0" w:hanging="420" w:firstLineChars="0"/>
        <w:rPr>
          <w:rFonts w:hint="eastAsia" w:eastAsia="宋体"/>
          <w:color w:val="auto"/>
          <w:lang w:eastAsia="zh-CN"/>
        </w:rPr>
      </w:pPr>
      <w:r>
        <w:rPr>
          <w:rFonts w:hint="eastAsia" w:eastAsia="宋体"/>
          <w:color w:val="auto"/>
          <w:lang w:eastAsia="zh-CN"/>
        </w:rPr>
        <w:t>在住院楼入口内侧安装安检门（新增）；</w:t>
      </w:r>
    </w:p>
    <w:p>
      <w:pPr>
        <w:pStyle w:val="38"/>
        <w:numPr>
          <w:ilvl w:val="0"/>
          <w:numId w:val="7"/>
        </w:numPr>
        <w:spacing w:line="360" w:lineRule="auto"/>
        <w:ind w:left="420" w:leftChars="0" w:hanging="420" w:firstLineChars="0"/>
        <w:rPr>
          <w:rFonts w:hint="eastAsia" w:eastAsia="宋体"/>
          <w:color w:val="auto"/>
          <w:lang w:eastAsia="zh-CN"/>
        </w:rPr>
      </w:pPr>
      <w:r>
        <w:rPr>
          <w:rFonts w:hint="eastAsia" w:eastAsia="宋体"/>
          <w:color w:val="auto"/>
          <w:lang w:eastAsia="zh-CN"/>
        </w:rPr>
        <w:t>在住院楼入口内侧安装安检机，住院部考虑大件行李通过，使用</w:t>
      </w:r>
      <w:r>
        <w:rPr>
          <w:rFonts w:hint="eastAsia"/>
          <w:color w:val="auto"/>
          <w:lang w:val="en-US" w:eastAsia="zh-CN"/>
        </w:rPr>
        <w:t>大</w:t>
      </w:r>
      <w:r>
        <w:rPr>
          <w:rFonts w:hint="eastAsia" w:eastAsia="宋体"/>
          <w:color w:val="auto"/>
          <w:lang w:eastAsia="zh-CN"/>
        </w:rPr>
        <w:t>通道口径设备（新增）</w:t>
      </w:r>
    </w:p>
    <w:p>
      <w:pPr>
        <w:pStyle w:val="14"/>
        <w:jc w:val="center"/>
        <w:rPr>
          <w:rFonts w:ascii="宋体" w:hAnsi="宋体" w:cs="宋体"/>
          <w:color w:val="FF0000"/>
        </w:rPr>
      </w:pPr>
    </w:p>
    <w:p>
      <w:pPr>
        <w:pStyle w:val="14"/>
        <w:ind w:firstLine="480" w:firstLineChars="200"/>
        <w:rPr>
          <w:rFonts w:ascii="宋体" w:hAnsi="宋体" w:cs="宋体"/>
          <w:color w:val="FF0000"/>
          <w:kern w:val="2"/>
          <w:sz w:val="24"/>
          <w:szCs w:val="24"/>
        </w:rPr>
        <w:sectPr>
          <w:headerReference r:id="rId5" w:type="default"/>
          <w:footerReference r:id="rId6" w:type="default"/>
          <w:pgSz w:w="11906" w:h="16838"/>
          <w:pgMar w:top="1134" w:right="1134" w:bottom="1134" w:left="1134" w:header="851" w:footer="992" w:gutter="0"/>
          <w:cols w:space="425" w:num="1"/>
          <w:docGrid w:type="lines" w:linePitch="312" w:charSpace="0"/>
        </w:sectPr>
      </w:pPr>
    </w:p>
    <w:p>
      <w:pPr>
        <w:pStyle w:val="2"/>
        <w:spacing w:line="360" w:lineRule="auto"/>
        <w:rPr>
          <w:rFonts w:ascii="宋体" w:hAnsi="宋体" w:cs="宋体"/>
        </w:rPr>
      </w:pPr>
      <w:r>
        <w:rPr>
          <w:rFonts w:hint="eastAsia" w:ascii="宋体" w:hAnsi="宋体" w:cs="宋体"/>
        </w:rPr>
        <w:t>设备及材料</w:t>
      </w:r>
    </w:p>
    <w:p>
      <w:pPr>
        <w:pStyle w:val="3"/>
        <w:spacing w:line="360" w:lineRule="auto"/>
        <w:rPr>
          <w:rFonts w:ascii="宋体" w:hAnsi="宋体" w:eastAsia="宋体" w:cs="宋体"/>
        </w:rPr>
      </w:pPr>
      <w:r>
        <w:rPr>
          <w:rFonts w:hint="eastAsia" w:ascii="宋体" w:hAnsi="宋体" w:eastAsia="宋体" w:cs="宋体"/>
        </w:rPr>
        <w:t>★配置清单（以下项目需分项报价）</w:t>
      </w:r>
    </w:p>
    <w:tbl>
      <w:tblPr>
        <w:tblStyle w:val="19"/>
        <w:tblW w:w="498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8"/>
        <w:gridCol w:w="1554"/>
        <w:gridCol w:w="3754"/>
        <w:gridCol w:w="682"/>
        <w:gridCol w:w="721"/>
        <w:gridCol w:w="1204"/>
        <w:gridCol w:w="12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7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需求内容</w:t>
            </w:r>
          </w:p>
        </w:tc>
        <w:tc>
          <w:tcPr>
            <w:tcW w:w="1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基本需求描述</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单价/万元</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总价/万元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eastAsia" w:ascii="Calibri" w:hAnsi="Calibri" w:cs="Calibri"/>
                <w:i w:val="0"/>
                <w:iCs w:val="0"/>
                <w:color w:val="000000"/>
                <w:kern w:val="0"/>
                <w:sz w:val="21"/>
                <w:szCs w:val="21"/>
                <w:u w:val="none"/>
                <w:lang w:val="en-US" w:eastAsia="zh-CN" w:bidi="ar"/>
              </w:rPr>
              <w:t>1</w:t>
            </w:r>
          </w:p>
        </w:tc>
        <w:tc>
          <w:tcPr>
            <w:tcW w:w="7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安检X光机</w:t>
            </w:r>
          </w:p>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（新增）</w:t>
            </w:r>
          </w:p>
        </w:tc>
        <w:tc>
          <w:tcPr>
            <w:tcW w:w="1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1.通道尺寸：达到或优于500mm*300mm；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详见技术参数要求</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eastAsia" w:ascii="Calibri" w:hAnsi="Calibri" w:cs="Calibri"/>
                <w:i w:val="0"/>
                <w:iCs w:val="0"/>
                <w:color w:val="000000"/>
                <w:kern w:val="0"/>
                <w:sz w:val="21"/>
                <w:szCs w:val="21"/>
                <w:u w:val="none"/>
                <w:lang w:val="en-US" w:eastAsia="zh-CN" w:bidi="ar"/>
              </w:rPr>
              <w:t>2</w:t>
            </w:r>
          </w:p>
        </w:tc>
        <w:tc>
          <w:tcPr>
            <w:tcW w:w="7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安检X光机</w:t>
            </w:r>
          </w:p>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（新增）</w:t>
            </w:r>
          </w:p>
        </w:tc>
        <w:tc>
          <w:tcPr>
            <w:tcW w:w="1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1.通道尺寸：达到或优于800mm*600mm；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详见技术参数要求</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eastAsia" w:ascii="Calibri" w:hAnsi="Calibri" w:cs="Calibri"/>
                <w:i w:val="0"/>
                <w:iCs w:val="0"/>
                <w:color w:val="000000"/>
                <w:kern w:val="0"/>
                <w:sz w:val="21"/>
                <w:szCs w:val="21"/>
                <w:u w:val="none"/>
                <w:lang w:val="en-US" w:eastAsia="zh-CN" w:bidi="ar"/>
              </w:rPr>
              <w:t>3</w:t>
            </w:r>
          </w:p>
        </w:tc>
        <w:tc>
          <w:tcPr>
            <w:tcW w:w="7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安检门</w:t>
            </w:r>
          </w:p>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（新增）</w:t>
            </w:r>
          </w:p>
        </w:tc>
        <w:tc>
          <w:tcPr>
            <w:tcW w:w="1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信息显示：达到或优于3.5寸液晶显示屏，18区人形报警指示灯，可精准显示金属探测位置；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2.金属检测：达到或优于最高灵敏度可检测到一枚回形针，有效进行违规物品核验。</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3.详见技术参数要求</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cs="Calibri"/>
                <w:i w:val="0"/>
                <w:iCs w:val="0"/>
                <w:color w:val="000000"/>
                <w:kern w:val="0"/>
                <w:sz w:val="21"/>
                <w:szCs w:val="21"/>
                <w:u w:val="none"/>
                <w:lang w:val="en-US" w:eastAsia="zh-CN" w:bidi="ar"/>
              </w:rPr>
            </w:pPr>
            <w:r>
              <w:rPr>
                <w:rFonts w:hint="eastAsia" w:ascii="Calibri" w:hAnsi="Calibri" w:cs="Calibri"/>
                <w:i w:val="0"/>
                <w:iCs w:val="0"/>
                <w:color w:val="000000"/>
                <w:kern w:val="0"/>
                <w:sz w:val="21"/>
                <w:szCs w:val="21"/>
                <w:u w:val="none"/>
                <w:lang w:val="en-US" w:eastAsia="zh-CN" w:bidi="ar"/>
              </w:rPr>
              <w:t>4</w:t>
            </w:r>
          </w:p>
        </w:tc>
        <w:tc>
          <w:tcPr>
            <w:tcW w:w="7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安检X光机和安检门（利旧）</w:t>
            </w:r>
          </w:p>
        </w:tc>
        <w:tc>
          <w:tcPr>
            <w:tcW w:w="1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1.调整安装位置（拆装）</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套</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alibri" w:hAnsi="Calibri" w:cs="Calibri"/>
                <w:i w:val="0"/>
                <w:iCs w:val="0"/>
                <w:color w:val="000000"/>
                <w:kern w:val="0"/>
                <w:sz w:val="21"/>
                <w:szCs w:val="21"/>
                <w:u w:val="none"/>
                <w:lang w:val="en-US" w:eastAsia="zh-CN" w:bidi="ar"/>
              </w:rPr>
            </w:pPr>
          </w:p>
        </w:tc>
        <w:tc>
          <w:tcPr>
            <w:tcW w:w="7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总价</w:t>
            </w:r>
          </w:p>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（含税）</w:t>
            </w:r>
          </w:p>
        </w:tc>
        <w:tc>
          <w:tcPr>
            <w:tcW w:w="1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bl>
    <w:p>
      <w:pPr>
        <w:tabs>
          <w:tab w:val="left" w:pos="540"/>
        </w:tabs>
        <w:autoSpaceDE/>
        <w:autoSpaceDN/>
        <w:snapToGrid w:val="0"/>
        <w:jc w:val="both"/>
        <w:rPr>
          <w:rFonts w:ascii="宋体" w:hAnsi="宋体" w:cs="宋体"/>
          <w:b/>
          <w:color w:val="000000"/>
          <w:szCs w:val="24"/>
        </w:rPr>
      </w:pPr>
    </w:p>
    <w:p>
      <w:pPr>
        <w:pStyle w:val="2"/>
        <w:spacing w:line="360" w:lineRule="auto"/>
        <w:rPr>
          <w:rFonts w:ascii="宋体" w:hAnsi="宋体" w:cs="宋体"/>
        </w:rPr>
      </w:pPr>
      <w:r>
        <w:rPr>
          <w:rFonts w:hint="eastAsia" w:ascii="宋体" w:hAnsi="宋体" w:cs="宋体"/>
        </w:rPr>
        <w:t>技术参数要求</w:t>
      </w:r>
    </w:p>
    <w:p>
      <w:pPr>
        <w:pStyle w:val="3"/>
        <w:rPr>
          <w:rFonts w:ascii="宋体" w:hAnsi="宋体" w:eastAsia="宋体" w:cs="宋体"/>
          <w:color w:val="auto"/>
        </w:rPr>
      </w:pPr>
      <w:r>
        <w:rPr>
          <w:rFonts w:hint="eastAsia" w:ascii="宋体" w:hAnsi="宋体" w:eastAsia="宋体" w:cs="宋体"/>
          <w:color w:val="auto"/>
        </w:rPr>
        <w:t>智能X射线检查系统（</w:t>
      </w:r>
      <w:r>
        <w:rPr>
          <w:rFonts w:hint="eastAsia" w:ascii="宋体" w:hAnsi="宋体" w:eastAsia="宋体" w:cs="宋体"/>
          <w:color w:val="auto"/>
          <w:lang w:val="en-US" w:eastAsia="zh-CN"/>
        </w:rPr>
        <w:t>A款</w:t>
      </w:r>
      <w:r>
        <w:rPr>
          <w:rFonts w:hint="eastAsia" w:ascii="宋体" w:hAnsi="宋体" w:eastAsia="宋体" w:cs="宋体"/>
          <w:color w:val="auto"/>
        </w:rPr>
        <w:t>）</w:t>
      </w:r>
    </w:p>
    <w:p>
      <w:pPr>
        <w:keepNext w:val="0"/>
        <w:keepLines w:val="0"/>
        <w:pageBreakBefore w:val="0"/>
        <w:widowControl w:val="0"/>
        <w:numPr>
          <w:ilvl w:val="0"/>
          <w:numId w:val="8"/>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设备通道尺寸：≥500mm</w:t>
      </w:r>
      <w:r>
        <w:rPr>
          <w:rFonts w:hint="eastAsia"/>
          <w:lang w:val="en-US" w:eastAsia="zh-CN"/>
        </w:rPr>
        <w:t>×</w:t>
      </w:r>
      <w:r>
        <w:rPr>
          <w:rFonts w:hint="eastAsia"/>
          <w:lang w:eastAsia="zh-CN"/>
        </w:rPr>
        <w:t>300mm；</w:t>
      </w:r>
    </w:p>
    <w:p>
      <w:pPr>
        <w:keepNext w:val="0"/>
        <w:keepLines w:val="0"/>
        <w:pageBreakBefore w:val="0"/>
        <w:widowControl w:val="0"/>
        <w:numPr>
          <w:ilvl w:val="0"/>
          <w:numId w:val="8"/>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设备应在方便操作人员触及的位置装有紧急停止开关，一旦紧急情况发生，能立即切断设备X射线产生装置和输送装置的供电电源，紧急停止开关应使用</w:t>
      </w:r>
      <w:r>
        <w:rPr>
          <w:rFonts w:hint="eastAsia"/>
          <w:lang w:val="en-US" w:eastAsia="zh-CN"/>
        </w:rPr>
        <w:t>标识明显</w:t>
      </w:r>
      <w:r>
        <w:rPr>
          <w:rFonts w:hint="eastAsia"/>
          <w:lang w:eastAsia="zh-CN"/>
        </w:rPr>
        <w:t>开关（</w:t>
      </w:r>
      <w:r>
        <w:rPr>
          <w:rFonts w:hint="eastAsia"/>
          <w:lang w:val="en-US" w:eastAsia="zh-CN"/>
        </w:rPr>
        <w:t>如</w:t>
      </w:r>
      <w:r>
        <w:rPr>
          <w:rFonts w:hint="eastAsia"/>
          <w:lang w:eastAsia="zh-CN"/>
        </w:rPr>
        <w:t>黄底红色</w:t>
      </w:r>
      <w:r>
        <w:rPr>
          <w:rFonts w:hint="eastAsia"/>
          <w:lang w:val="en-US" w:eastAsia="zh-CN"/>
        </w:rPr>
        <w:t>等）</w:t>
      </w:r>
      <w:r>
        <w:rPr>
          <w:rFonts w:hint="eastAsia"/>
          <w:lang w:eastAsia="zh-CN"/>
        </w:rPr>
        <w:t>；设备应配备适当额定值的电源过流保护装置，以防止由于内部元件失效或其他意外引起的过电流可能造成火灾的危险；</w:t>
      </w:r>
    </w:p>
    <w:p>
      <w:pPr>
        <w:keepNext w:val="0"/>
        <w:keepLines w:val="0"/>
        <w:pageBreakBefore w:val="0"/>
        <w:widowControl w:val="0"/>
        <w:numPr>
          <w:ilvl w:val="0"/>
          <w:numId w:val="8"/>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设备应支持图像回拉功能，可回调当前用户的历史过检图像，无图像数量限制；</w:t>
      </w:r>
    </w:p>
    <w:p>
      <w:pPr>
        <w:keepNext w:val="0"/>
        <w:keepLines w:val="0"/>
        <w:pageBreakBefore w:val="0"/>
        <w:widowControl w:val="0"/>
        <w:numPr>
          <w:ilvl w:val="0"/>
          <w:numId w:val="8"/>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设备应能通过生产厂家专用软件以离线方式再现图像，图像处理功能与设备功能相同，应能将图像的原始数据转换成BMP、JPG、GIF、PNG等通用的图像格式；</w:t>
      </w:r>
    </w:p>
    <w:p>
      <w:pPr>
        <w:keepNext w:val="0"/>
        <w:keepLines w:val="0"/>
        <w:pageBreakBefore w:val="0"/>
        <w:widowControl w:val="0"/>
        <w:numPr>
          <w:ilvl w:val="0"/>
          <w:numId w:val="8"/>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设备线分辨力应不大于0.0</w:t>
      </w:r>
      <w:r>
        <w:rPr>
          <w:rFonts w:hint="eastAsia"/>
          <w:lang w:val="en-US" w:eastAsia="zh-CN"/>
        </w:rPr>
        <w:t>8</w:t>
      </w:r>
      <w:r>
        <w:rPr>
          <w:rFonts w:hint="eastAsia"/>
          <w:lang w:eastAsia="zh-CN"/>
        </w:rPr>
        <w:t>mm；</w:t>
      </w:r>
    </w:p>
    <w:p>
      <w:pPr>
        <w:keepNext w:val="0"/>
        <w:keepLines w:val="0"/>
        <w:pageBreakBefore w:val="0"/>
        <w:widowControl w:val="0"/>
        <w:numPr>
          <w:ilvl w:val="0"/>
          <w:numId w:val="8"/>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设备穿透分辨力应不大于0.1</w:t>
      </w:r>
      <w:r>
        <w:rPr>
          <w:rFonts w:hint="eastAsia"/>
          <w:lang w:val="en-US" w:eastAsia="zh-CN"/>
        </w:rPr>
        <w:t>3</w:t>
      </w:r>
      <w:r>
        <w:rPr>
          <w:rFonts w:hint="eastAsia"/>
          <w:lang w:eastAsia="zh-CN"/>
        </w:rPr>
        <w:t>mm；</w:t>
      </w:r>
    </w:p>
    <w:p>
      <w:pPr>
        <w:keepNext w:val="0"/>
        <w:keepLines w:val="0"/>
        <w:pageBreakBefore w:val="0"/>
        <w:widowControl w:val="0"/>
        <w:numPr>
          <w:ilvl w:val="0"/>
          <w:numId w:val="8"/>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设备空间分辨率应不大于φ0.8mm；</w:t>
      </w:r>
    </w:p>
    <w:p>
      <w:pPr>
        <w:keepNext w:val="0"/>
        <w:keepLines w:val="0"/>
        <w:pageBreakBefore w:val="0"/>
        <w:widowControl w:val="0"/>
        <w:numPr>
          <w:ilvl w:val="0"/>
          <w:numId w:val="8"/>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设备穿透力应不小于8mm；</w:t>
      </w:r>
    </w:p>
    <w:p>
      <w:pPr>
        <w:keepNext w:val="0"/>
        <w:keepLines w:val="0"/>
        <w:pageBreakBefore w:val="0"/>
        <w:widowControl w:val="0"/>
        <w:numPr>
          <w:ilvl w:val="0"/>
          <w:numId w:val="8"/>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设备输送带正反向运转不应跑偏。</w:t>
      </w:r>
      <w:r>
        <w:rPr>
          <w:rFonts w:hint="eastAsia"/>
          <w:lang w:val="en-US" w:eastAsia="zh-CN"/>
        </w:rPr>
        <w:t>如</w:t>
      </w:r>
      <w:r>
        <w:rPr>
          <w:rFonts w:hint="eastAsia"/>
          <w:lang w:eastAsia="zh-CN"/>
        </w:rPr>
        <w:t>正向连续运转10min内，横向位移小于等于1mm；设备反向连续运转30s内，横向位移小于等于1mm；</w:t>
      </w:r>
    </w:p>
    <w:p>
      <w:pPr>
        <w:keepNext w:val="0"/>
        <w:keepLines w:val="0"/>
        <w:pageBreakBefore w:val="0"/>
        <w:widowControl w:val="0"/>
        <w:numPr>
          <w:ilvl w:val="0"/>
          <w:numId w:val="8"/>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单次剂量应≤2 μSv(μGy)；</w:t>
      </w:r>
    </w:p>
    <w:p>
      <w:pPr>
        <w:keepNext w:val="0"/>
        <w:keepLines w:val="0"/>
        <w:pageBreakBefore w:val="0"/>
        <w:widowControl w:val="0"/>
        <w:numPr>
          <w:ilvl w:val="0"/>
          <w:numId w:val="8"/>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设备正常工作时，封闭式设备在距设备的任何可达表面0.1m处（包括设备的入口、出口处）周围剂量当量率应小于等于0.01uSv/h；工作人员位置的周围剂量当量率应小于等于0.01uSv/h《需提供公安部权威检测报告并加盖公章》；</w:t>
      </w:r>
    </w:p>
    <w:p>
      <w:pPr>
        <w:keepNext w:val="0"/>
        <w:keepLines w:val="0"/>
        <w:pageBreakBefore w:val="0"/>
        <w:widowControl w:val="0"/>
        <w:numPr>
          <w:ilvl w:val="0"/>
          <w:numId w:val="8"/>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设备正常工作时在距设备外表面1m的任意处，设备噪声应小于等于5</w:t>
      </w:r>
      <w:r>
        <w:rPr>
          <w:rFonts w:hint="eastAsia"/>
          <w:lang w:val="en-US" w:eastAsia="zh-CN"/>
        </w:rPr>
        <w:t>3</w:t>
      </w:r>
      <w:r>
        <w:rPr>
          <w:rFonts w:hint="eastAsia"/>
          <w:lang w:eastAsia="zh-CN"/>
        </w:rPr>
        <w:t>dB（A</w:t>
      </w:r>
      <w:r>
        <w:rPr>
          <w:rFonts w:hint="eastAsia"/>
          <w:lang w:val="en-US" w:eastAsia="zh-CN"/>
        </w:rPr>
        <w:t>）</w:t>
      </w:r>
      <w:r>
        <w:rPr>
          <w:rFonts w:hint="eastAsia"/>
          <w:lang w:eastAsia="zh-CN"/>
        </w:rPr>
        <w:t>；</w:t>
      </w:r>
    </w:p>
    <w:p>
      <w:pPr>
        <w:keepNext w:val="0"/>
        <w:keepLines w:val="0"/>
        <w:pageBreakBefore w:val="0"/>
        <w:widowControl w:val="0"/>
        <w:numPr>
          <w:ilvl w:val="0"/>
          <w:numId w:val="8"/>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设备应节能环保。当传送带上无行李物品时，设备的传送装置应自动停止；当行李物品放上传送带时，设备的传送装置应自动运行；设备应能查看红外传感器当前的工作状态；</w:t>
      </w:r>
    </w:p>
    <w:p>
      <w:pPr>
        <w:keepNext w:val="0"/>
        <w:keepLines w:val="0"/>
        <w:pageBreakBefore w:val="0"/>
        <w:widowControl w:val="0"/>
        <w:numPr>
          <w:ilvl w:val="0"/>
          <w:numId w:val="8"/>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当被测物过薄而无法遮挡光障时，人工按下操作台上的相应功能键，设备应能检测出</w:t>
      </w:r>
      <w:r>
        <w:rPr>
          <w:rFonts w:hint="eastAsia"/>
          <w:lang w:val="en-US" w:eastAsia="zh-CN"/>
        </w:rPr>
        <w:t>≤</w:t>
      </w:r>
      <w:r>
        <w:rPr>
          <w:rFonts w:hint="eastAsia"/>
          <w:lang w:eastAsia="zh-CN"/>
        </w:rPr>
        <w:t>0.02mm厚度的标准塞尺（</w:t>
      </w:r>
      <w:r>
        <w:rPr>
          <w:rFonts w:hint="eastAsia"/>
          <w:lang w:val="en-US" w:eastAsia="zh-CN"/>
        </w:rPr>
        <w:t>物品</w:t>
      </w:r>
      <w:r>
        <w:rPr>
          <w:rFonts w:hint="eastAsia"/>
          <w:lang w:eastAsia="zh-CN"/>
        </w:rPr>
        <w:t>）；</w:t>
      </w:r>
    </w:p>
    <w:p>
      <w:pPr>
        <w:keepNext w:val="0"/>
        <w:keepLines w:val="0"/>
        <w:pageBreakBefore w:val="0"/>
        <w:widowControl w:val="0"/>
        <w:numPr>
          <w:ilvl w:val="0"/>
          <w:numId w:val="8"/>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当设备出现系统死机或意外故障重启后，应能在150S内恢复正常工作状态且故障前的信息不丢失；</w:t>
      </w:r>
    </w:p>
    <w:p>
      <w:pPr>
        <w:keepNext w:val="0"/>
        <w:keepLines w:val="0"/>
        <w:pageBreakBefore w:val="0"/>
        <w:widowControl w:val="0"/>
        <w:numPr>
          <w:ilvl w:val="0"/>
          <w:numId w:val="8"/>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★设备应能对被测物品图像中的以下物品进行图像识别并以方框框出报警且以文字提示出方框里禁限带品名称：1</w:t>
      </w:r>
      <w:r>
        <w:rPr>
          <w:rFonts w:hint="eastAsia"/>
          <w:lang w:val="en-US" w:eastAsia="zh-CN"/>
        </w:rPr>
        <w:t>.</w:t>
      </w:r>
      <w:r>
        <w:rPr>
          <w:rFonts w:hint="eastAsia"/>
          <w:lang w:eastAsia="zh-CN"/>
        </w:rPr>
        <w:t>尖刀、2</w:t>
      </w:r>
      <w:r>
        <w:rPr>
          <w:rFonts w:hint="eastAsia"/>
          <w:lang w:val="en-US" w:eastAsia="zh-CN"/>
        </w:rPr>
        <w:t>.</w:t>
      </w:r>
      <w:r>
        <w:rPr>
          <w:rFonts w:hint="eastAsia"/>
          <w:lang w:eastAsia="zh-CN"/>
        </w:rPr>
        <w:t>折叠刀、3</w:t>
      </w:r>
      <w:r>
        <w:rPr>
          <w:rFonts w:hint="eastAsia"/>
          <w:lang w:val="en-US" w:eastAsia="zh-CN"/>
        </w:rPr>
        <w:t>.</w:t>
      </w:r>
      <w:r>
        <w:rPr>
          <w:rFonts w:hint="eastAsia"/>
          <w:lang w:eastAsia="zh-CN"/>
        </w:rPr>
        <w:t>单刃匕首、4</w:t>
      </w:r>
      <w:r>
        <w:rPr>
          <w:rFonts w:hint="eastAsia"/>
          <w:lang w:val="en-US" w:eastAsia="zh-CN"/>
        </w:rPr>
        <w:t>.</w:t>
      </w:r>
      <w:r>
        <w:rPr>
          <w:rFonts w:hint="eastAsia"/>
          <w:lang w:eastAsia="zh-CN"/>
        </w:rPr>
        <w:t>双刃尖刀、5</w:t>
      </w:r>
      <w:r>
        <w:rPr>
          <w:rFonts w:hint="eastAsia"/>
          <w:lang w:val="en-US" w:eastAsia="zh-CN"/>
        </w:rPr>
        <w:t>.</w:t>
      </w:r>
      <w:r>
        <w:rPr>
          <w:rFonts w:hint="eastAsia"/>
          <w:lang w:eastAsia="zh-CN"/>
        </w:rPr>
        <w:t>菜刀、6</w:t>
      </w:r>
      <w:r>
        <w:rPr>
          <w:rFonts w:hint="eastAsia"/>
          <w:lang w:val="en-US" w:eastAsia="zh-CN"/>
        </w:rPr>
        <w:t>.</w:t>
      </w:r>
      <w:r>
        <w:rPr>
          <w:rFonts w:hint="eastAsia"/>
          <w:lang w:eastAsia="zh-CN"/>
        </w:rPr>
        <w:t>美工刀、7</w:t>
      </w:r>
      <w:r>
        <w:rPr>
          <w:rFonts w:hint="eastAsia"/>
          <w:lang w:val="en-US" w:eastAsia="zh-CN"/>
        </w:rPr>
        <w:t>.</w:t>
      </w:r>
      <w:r>
        <w:rPr>
          <w:rFonts w:hint="eastAsia"/>
          <w:lang w:eastAsia="zh-CN"/>
        </w:rPr>
        <w:t>弯刀、8</w:t>
      </w:r>
      <w:r>
        <w:rPr>
          <w:rFonts w:hint="eastAsia"/>
          <w:lang w:val="en-US" w:eastAsia="zh-CN"/>
        </w:rPr>
        <w:t>.</w:t>
      </w:r>
      <w:r>
        <w:rPr>
          <w:rFonts w:hint="eastAsia"/>
          <w:lang w:eastAsia="zh-CN"/>
        </w:rPr>
        <w:t>砍刀、9</w:t>
      </w:r>
      <w:r>
        <w:rPr>
          <w:rFonts w:hint="eastAsia"/>
          <w:lang w:val="en-US" w:eastAsia="zh-CN"/>
        </w:rPr>
        <w:t>.</w:t>
      </w:r>
      <w:r>
        <w:rPr>
          <w:rFonts w:hint="eastAsia"/>
          <w:lang w:eastAsia="zh-CN"/>
        </w:rPr>
        <w:t>剪刀、10</w:t>
      </w:r>
      <w:r>
        <w:rPr>
          <w:rFonts w:hint="eastAsia"/>
          <w:lang w:val="en-US" w:eastAsia="zh-CN"/>
        </w:rPr>
        <w:t>.</w:t>
      </w:r>
      <w:r>
        <w:rPr>
          <w:rFonts w:hint="eastAsia"/>
          <w:lang w:eastAsia="zh-CN"/>
        </w:rPr>
        <w:t>斧头刀、11</w:t>
      </w:r>
      <w:r>
        <w:rPr>
          <w:rFonts w:hint="eastAsia"/>
          <w:lang w:val="en-US" w:eastAsia="zh-CN"/>
        </w:rPr>
        <w:t>.</w:t>
      </w:r>
      <w:r>
        <w:rPr>
          <w:rFonts w:hint="eastAsia"/>
          <w:lang w:eastAsia="zh-CN"/>
        </w:rPr>
        <w:t>多棱刀、12</w:t>
      </w:r>
      <w:r>
        <w:rPr>
          <w:rFonts w:hint="eastAsia"/>
          <w:lang w:val="en-US" w:eastAsia="zh-CN"/>
        </w:rPr>
        <w:t>.</w:t>
      </w:r>
      <w:r>
        <w:rPr>
          <w:rFonts w:hint="eastAsia"/>
          <w:lang w:eastAsia="zh-CN"/>
        </w:rPr>
        <w:t>军刀、13</w:t>
      </w:r>
      <w:r>
        <w:rPr>
          <w:rFonts w:hint="eastAsia"/>
          <w:lang w:val="en-US" w:eastAsia="zh-CN"/>
        </w:rPr>
        <w:t>.</w:t>
      </w:r>
      <w:r>
        <w:rPr>
          <w:rFonts w:hint="eastAsia"/>
          <w:lang w:eastAsia="zh-CN"/>
        </w:rPr>
        <w:t>仿真手枪、14</w:t>
      </w:r>
      <w:r>
        <w:rPr>
          <w:rFonts w:hint="eastAsia"/>
          <w:lang w:val="en-US" w:eastAsia="zh-CN"/>
        </w:rPr>
        <w:t>.</w:t>
      </w:r>
      <w:r>
        <w:rPr>
          <w:rFonts w:hint="eastAsia"/>
          <w:lang w:eastAsia="zh-CN"/>
        </w:rPr>
        <w:t>手铐、15</w:t>
      </w:r>
      <w:r>
        <w:rPr>
          <w:rFonts w:hint="eastAsia"/>
          <w:lang w:val="en-US" w:eastAsia="zh-CN"/>
        </w:rPr>
        <w:t>.</w:t>
      </w:r>
      <w:r>
        <w:rPr>
          <w:rFonts w:hint="eastAsia"/>
          <w:lang w:eastAsia="zh-CN"/>
        </w:rPr>
        <w:t>警棍、16</w:t>
      </w:r>
      <w:r>
        <w:rPr>
          <w:rFonts w:hint="eastAsia"/>
          <w:lang w:val="en-US" w:eastAsia="zh-CN"/>
        </w:rPr>
        <w:t>.</w:t>
      </w:r>
      <w:r>
        <w:rPr>
          <w:rFonts w:hint="eastAsia"/>
          <w:lang w:eastAsia="zh-CN"/>
        </w:rPr>
        <w:t>指虎、17</w:t>
      </w:r>
      <w:r>
        <w:rPr>
          <w:rFonts w:hint="eastAsia"/>
          <w:lang w:val="en-US" w:eastAsia="zh-CN"/>
        </w:rPr>
        <w:t>.</w:t>
      </w:r>
      <w:r>
        <w:rPr>
          <w:rFonts w:hint="eastAsia"/>
          <w:lang w:eastAsia="zh-CN"/>
        </w:rPr>
        <w:t>鞭炮、18</w:t>
      </w:r>
      <w:r>
        <w:rPr>
          <w:rFonts w:hint="eastAsia"/>
          <w:lang w:val="en-US" w:eastAsia="zh-CN"/>
        </w:rPr>
        <w:t>.</w:t>
      </w:r>
      <w:r>
        <w:rPr>
          <w:rFonts w:hint="eastAsia"/>
          <w:lang w:eastAsia="zh-CN"/>
        </w:rPr>
        <w:t>烟花、19</w:t>
      </w:r>
      <w:r>
        <w:rPr>
          <w:rFonts w:hint="eastAsia"/>
          <w:lang w:val="en-US" w:eastAsia="zh-CN"/>
        </w:rPr>
        <w:t>.</w:t>
      </w:r>
      <w:r>
        <w:rPr>
          <w:rFonts w:hint="eastAsia"/>
          <w:lang w:eastAsia="zh-CN"/>
        </w:rPr>
        <w:t>压力容器罐、20</w:t>
      </w:r>
      <w:r>
        <w:rPr>
          <w:rFonts w:hint="eastAsia"/>
          <w:lang w:val="en-US" w:eastAsia="zh-CN"/>
        </w:rPr>
        <w:t>.</w:t>
      </w:r>
      <w:r>
        <w:rPr>
          <w:rFonts w:hint="eastAsia"/>
          <w:lang w:eastAsia="zh-CN"/>
        </w:rPr>
        <w:t>液体、21</w:t>
      </w:r>
      <w:r>
        <w:rPr>
          <w:rFonts w:hint="eastAsia"/>
          <w:lang w:val="en-US" w:eastAsia="zh-CN"/>
        </w:rPr>
        <w:t>.</w:t>
      </w:r>
      <w:r>
        <w:rPr>
          <w:rFonts w:hint="eastAsia"/>
          <w:lang w:eastAsia="zh-CN"/>
        </w:rPr>
        <w:t>扳手、22</w:t>
      </w:r>
      <w:r>
        <w:rPr>
          <w:rFonts w:hint="eastAsia"/>
          <w:lang w:val="en-US" w:eastAsia="zh-CN"/>
        </w:rPr>
        <w:t>.</w:t>
      </w:r>
      <w:r>
        <w:rPr>
          <w:rFonts w:hint="eastAsia"/>
          <w:lang w:eastAsia="zh-CN"/>
        </w:rPr>
        <w:t>锤子、23</w:t>
      </w:r>
      <w:r>
        <w:rPr>
          <w:rFonts w:hint="eastAsia"/>
          <w:lang w:val="en-US" w:eastAsia="zh-CN"/>
        </w:rPr>
        <w:t>.</w:t>
      </w:r>
      <w:r>
        <w:rPr>
          <w:rFonts w:hint="eastAsia"/>
          <w:lang w:eastAsia="zh-CN"/>
        </w:rPr>
        <w:t>充电宝、24</w:t>
      </w:r>
      <w:r>
        <w:rPr>
          <w:rFonts w:hint="eastAsia"/>
          <w:lang w:val="en-US" w:eastAsia="zh-CN"/>
        </w:rPr>
        <w:t>.</w:t>
      </w:r>
      <w:r>
        <w:rPr>
          <w:rFonts w:hint="eastAsia"/>
          <w:lang w:eastAsia="zh-CN"/>
        </w:rPr>
        <w:t>手机、25</w:t>
      </w:r>
      <w:r>
        <w:rPr>
          <w:rFonts w:hint="eastAsia"/>
          <w:lang w:val="en-US" w:eastAsia="zh-CN"/>
        </w:rPr>
        <w:t>.</w:t>
      </w:r>
      <w:r>
        <w:rPr>
          <w:rFonts w:hint="eastAsia"/>
          <w:lang w:eastAsia="zh-CN"/>
        </w:rPr>
        <w:t>笔记本电脑、26</w:t>
      </w:r>
      <w:r>
        <w:rPr>
          <w:rFonts w:hint="eastAsia"/>
          <w:lang w:val="en-US" w:eastAsia="zh-CN"/>
        </w:rPr>
        <w:t>.</w:t>
      </w:r>
      <w:r>
        <w:rPr>
          <w:rFonts w:hint="eastAsia"/>
          <w:lang w:eastAsia="zh-CN"/>
        </w:rPr>
        <w:t>打火机等；（须提供产品</w:t>
      </w:r>
      <w:r>
        <w:rPr>
          <w:rFonts w:hint="eastAsia"/>
          <w:lang w:val="en-US" w:eastAsia="zh-CN"/>
        </w:rPr>
        <w:t>相关</w:t>
      </w:r>
      <w:r>
        <w:rPr>
          <w:rFonts w:hint="eastAsia"/>
          <w:lang w:eastAsia="zh-CN"/>
        </w:rPr>
        <w:t>实物照片佐证，并且中标后须验证该参数和功能）</w:t>
      </w:r>
    </w:p>
    <w:p>
      <w:pPr>
        <w:keepNext w:val="0"/>
        <w:keepLines w:val="0"/>
        <w:pageBreakBefore w:val="0"/>
        <w:widowControl w:val="0"/>
        <w:numPr>
          <w:ilvl w:val="0"/>
          <w:numId w:val="8"/>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▲设备应支持多址模式，可配置</w:t>
      </w:r>
      <w:r>
        <w:rPr>
          <w:rFonts w:hint="eastAsia"/>
          <w:lang w:val="en-US" w:eastAsia="zh-CN"/>
        </w:rPr>
        <w:t>不少于</w:t>
      </w:r>
      <w:r>
        <w:rPr>
          <w:rFonts w:hint="eastAsia"/>
          <w:lang w:eastAsia="zh-CN"/>
        </w:rPr>
        <w:t>2个不同网段IP地址。应支持网卡绑定：负载均衡，容错模式</w:t>
      </w:r>
      <w:r>
        <w:rPr>
          <w:rFonts w:hint="eastAsia"/>
          <w:lang w:val="en-US" w:eastAsia="zh-CN"/>
        </w:rPr>
        <w:t>等</w:t>
      </w:r>
      <w:r>
        <w:rPr>
          <w:rFonts w:hint="eastAsia"/>
          <w:lang w:eastAsia="zh-CN"/>
        </w:rPr>
        <w:t>。</w:t>
      </w:r>
      <w:r>
        <w:rPr>
          <w:rFonts w:hint="eastAsia"/>
          <w:lang w:val="en-US" w:eastAsia="zh-CN"/>
        </w:rPr>
        <w:t>如</w:t>
      </w:r>
      <w:r>
        <w:rPr>
          <w:rFonts w:hint="eastAsia"/>
          <w:lang w:eastAsia="zh-CN"/>
        </w:rPr>
        <w:t>网络容错可将4个网络接口绑定为1个IP地址</w:t>
      </w:r>
      <w:r>
        <w:rPr>
          <w:rFonts w:hint="eastAsia"/>
          <w:lang w:val="en-US" w:eastAsia="zh-CN"/>
        </w:rPr>
        <w:t>等方式</w:t>
      </w:r>
      <w:r>
        <w:rPr>
          <w:rFonts w:hint="eastAsia"/>
          <w:lang w:eastAsia="zh-CN"/>
        </w:rPr>
        <w:t>，当其中1个网络接口损坏时样机仍能正常工作</w:t>
      </w:r>
      <w:r>
        <w:rPr>
          <w:rFonts w:hint="eastAsia"/>
          <w:lang w:val="en-US" w:eastAsia="zh-CN"/>
        </w:rPr>
        <w:t>等</w:t>
      </w:r>
      <w:bookmarkStart w:id="9" w:name="_GoBack"/>
      <w:bookmarkEnd w:id="9"/>
      <w:r>
        <w:rPr>
          <w:rFonts w:hint="eastAsia"/>
          <w:lang w:eastAsia="zh-CN"/>
        </w:rPr>
        <w:t>《需提供公安部权威检测报告并加盖公章》；</w:t>
      </w:r>
    </w:p>
    <w:p>
      <w:pPr>
        <w:keepNext w:val="0"/>
        <w:keepLines w:val="0"/>
        <w:pageBreakBefore w:val="0"/>
        <w:widowControl w:val="0"/>
        <w:numPr>
          <w:ilvl w:val="0"/>
          <w:numId w:val="8"/>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▲设备的图像应为</w:t>
      </w:r>
      <w:r>
        <w:rPr>
          <w:rFonts w:hint="eastAsia"/>
          <w:lang w:val="en-US" w:eastAsia="zh-CN"/>
        </w:rPr>
        <w:t>优于等于</w:t>
      </w:r>
      <w:r>
        <w:rPr>
          <w:rFonts w:hint="eastAsia"/>
          <w:lang w:eastAsia="zh-CN"/>
        </w:rPr>
        <w:t>24比特（bit)实时处理，灰度级应大于等于65536《需提供公安部权威检测报告并加盖公章》；</w:t>
      </w:r>
    </w:p>
    <w:p>
      <w:pPr>
        <w:keepNext w:val="0"/>
        <w:keepLines w:val="0"/>
        <w:pageBreakBefore w:val="0"/>
        <w:widowControl w:val="0"/>
        <w:numPr>
          <w:ilvl w:val="0"/>
          <w:numId w:val="8"/>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设备应支持密码、指纹和人脸录入及编辑功能，且支持密码登录、指纹登录和人脸识别登录功能；</w:t>
      </w:r>
    </w:p>
    <w:p>
      <w:pPr>
        <w:keepNext w:val="0"/>
        <w:keepLines w:val="0"/>
        <w:pageBreakBefore w:val="0"/>
        <w:widowControl w:val="0"/>
        <w:numPr>
          <w:ilvl w:val="0"/>
          <w:numId w:val="8"/>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▲设备正常工作时在距设备外表面1m的任意处，设备噪声应小于等于53dB(A)《需提供公安部权威检测报告并加盖公章》；</w:t>
      </w:r>
    </w:p>
    <w:p>
      <w:pPr>
        <w:keepNext w:val="0"/>
        <w:keepLines w:val="0"/>
        <w:pageBreakBefore w:val="0"/>
        <w:widowControl w:val="0"/>
        <w:numPr>
          <w:ilvl w:val="0"/>
          <w:numId w:val="8"/>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▲X射线图像信噪比（SNR）应大于等于41dB《需提供公安部权威检测报告并加盖公章》；</w:t>
      </w:r>
    </w:p>
    <w:p>
      <w:pPr>
        <w:keepNext w:val="0"/>
        <w:keepLines w:val="0"/>
        <w:pageBreakBefore w:val="0"/>
        <w:widowControl w:val="0"/>
        <w:numPr>
          <w:ilvl w:val="0"/>
          <w:numId w:val="8"/>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设备应具有安检员状态识别功能，当操作人员出现低头、左顾右盼、闭眼、打哈欠、手持手机、吸烟、离岗和镜头遮挡等动作且超过设置阈值时，应能进行弹窗报警提示《需提供公安部权威检测报告并加盖公章》；</w:t>
      </w:r>
    </w:p>
    <w:p>
      <w:pPr>
        <w:keepNext w:val="0"/>
        <w:keepLines w:val="0"/>
        <w:pageBreakBefore w:val="0"/>
        <w:widowControl w:val="0"/>
        <w:numPr>
          <w:ilvl w:val="0"/>
          <w:numId w:val="8"/>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▲设备对已生成的单包裹图像进行疑似危险品识别，从X射线扫描结束生成扫描图像开始计时，至显示出识别结果结束计时，单次识别时间应小于等于 80ms《需提供公安部权威检测报告并加盖公章》；</w:t>
      </w:r>
    </w:p>
    <w:p>
      <w:pPr>
        <w:keepNext w:val="0"/>
        <w:keepLines w:val="0"/>
        <w:pageBreakBefore w:val="0"/>
        <w:widowControl w:val="0"/>
        <w:numPr>
          <w:ilvl w:val="0"/>
          <w:numId w:val="8"/>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 xml:space="preserve">设备应支持通过 IOS、Android </w:t>
      </w:r>
      <w:r>
        <w:rPr>
          <w:rFonts w:hint="eastAsia"/>
          <w:lang w:val="en-US" w:eastAsia="zh-CN"/>
        </w:rPr>
        <w:t>等</w:t>
      </w:r>
      <w:r>
        <w:rPr>
          <w:rFonts w:hint="eastAsia"/>
          <w:lang w:eastAsia="zh-CN"/>
        </w:rPr>
        <w:t>系统移动 APP 端查看行包安检图片、报警离线推送、违禁品报警接收与处理、查看联动现场视频及录像、展示数据看板;移动 APP 端应支持电子地图 GIS 和光栅地图展示；</w:t>
      </w:r>
    </w:p>
    <w:p>
      <w:pPr>
        <w:pStyle w:val="3"/>
        <w:rPr>
          <w:rFonts w:ascii="宋体" w:hAnsi="宋体" w:eastAsia="宋体" w:cs="宋体"/>
          <w:color w:val="auto"/>
        </w:rPr>
      </w:pPr>
      <w:r>
        <w:rPr>
          <w:rFonts w:hint="eastAsia" w:ascii="宋体" w:hAnsi="宋体" w:eastAsia="宋体" w:cs="宋体"/>
          <w:color w:val="auto"/>
        </w:rPr>
        <w:t>智能X射线检查系统（</w:t>
      </w:r>
      <w:r>
        <w:rPr>
          <w:rFonts w:hint="eastAsia" w:ascii="宋体" w:hAnsi="宋体" w:eastAsia="宋体" w:cs="宋体"/>
          <w:color w:val="auto"/>
          <w:lang w:val="en-US" w:eastAsia="zh-CN"/>
        </w:rPr>
        <w:t>B款</w:t>
      </w:r>
      <w:r>
        <w:rPr>
          <w:rFonts w:hint="eastAsia" w:ascii="宋体" w:hAnsi="宋体" w:eastAsia="宋体" w:cs="宋体"/>
          <w:color w:val="auto"/>
        </w:rPr>
        <w:t>）</w:t>
      </w:r>
    </w:p>
    <w:p>
      <w:pPr>
        <w:keepNext w:val="0"/>
        <w:keepLines w:val="0"/>
        <w:pageBreakBefore w:val="0"/>
        <w:widowControl w:val="0"/>
        <w:numPr>
          <w:ilvl w:val="0"/>
          <w:numId w:val="9"/>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通道尺寸：</w:t>
      </w:r>
      <w:r>
        <w:rPr>
          <w:rFonts w:hint="eastAsia"/>
        </w:rPr>
        <w:t>≥</w:t>
      </w:r>
      <w:r>
        <w:rPr>
          <w:rFonts w:hint="eastAsia"/>
          <w:lang w:eastAsia="zh-CN"/>
        </w:rPr>
        <w:t>800mm</w:t>
      </w:r>
      <w:r>
        <w:rPr>
          <w:rFonts w:hint="eastAsia"/>
          <w:lang w:val="en-US" w:eastAsia="zh-CN"/>
        </w:rPr>
        <w:t>×</w:t>
      </w:r>
      <w:r>
        <w:rPr>
          <w:rFonts w:hint="eastAsia"/>
          <w:lang w:eastAsia="zh-CN"/>
        </w:rPr>
        <w:t>6</w:t>
      </w:r>
      <w:r>
        <w:rPr>
          <w:rFonts w:hint="eastAsia"/>
          <w:lang w:val="en-US" w:eastAsia="zh-CN"/>
        </w:rPr>
        <w:t>0</w:t>
      </w:r>
      <w:r>
        <w:rPr>
          <w:rFonts w:hint="eastAsia"/>
          <w:lang w:eastAsia="zh-CN"/>
        </w:rPr>
        <w:t>0mm</w:t>
      </w:r>
    </w:p>
    <w:p>
      <w:pPr>
        <w:keepNext w:val="0"/>
        <w:keepLines w:val="0"/>
        <w:pageBreakBefore w:val="0"/>
        <w:widowControl w:val="0"/>
        <w:numPr>
          <w:ilvl w:val="0"/>
          <w:numId w:val="9"/>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USB接口：</w:t>
      </w:r>
      <w:r>
        <w:rPr>
          <w:rFonts w:hint="eastAsia"/>
        </w:rPr>
        <w:t>≥</w:t>
      </w:r>
      <w:r>
        <w:rPr>
          <w:rFonts w:hint="eastAsia"/>
          <w:lang w:eastAsia="zh-CN"/>
        </w:rPr>
        <w:t>2个USB3.0接口；</w:t>
      </w:r>
    </w:p>
    <w:p>
      <w:pPr>
        <w:keepNext w:val="0"/>
        <w:keepLines w:val="0"/>
        <w:pageBreakBefore w:val="0"/>
        <w:widowControl w:val="0"/>
        <w:numPr>
          <w:ilvl w:val="0"/>
          <w:numId w:val="9"/>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多路回放：最大支持12路回放；</w:t>
      </w:r>
    </w:p>
    <w:p>
      <w:pPr>
        <w:keepNext w:val="0"/>
        <w:keepLines w:val="0"/>
        <w:pageBreakBefore w:val="0"/>
        <w:widowControl w:val="0"/>
        <w:numPr>
          <w:ilvl w:val="0"/>
          <w:numId w:val="9"/>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工作湿度：10%～90%；</w:t>
      </w:r>
    </w:p>
    <w:p>
      <w:pPr>
        <w:keepNext w:val="0"/>
        <w:keepLines w:val="0"/>
        <w:pageBreakBefore w:val="0"/>
        <w:widowControl w:val="0"/>
        <w:numPr>
          <w:ilvl w:val="0"/>
          <w:numId w:val="9"/>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工作温度：0℃～+45℃ (32℉～+113℉ )；</w:t>
      </w:r>
    </w:p>
    <w:p>
      <w:pPr>
        <w:keepNext w:val="0"/>
        <w:keepLines w:val="0"/>
        <w:pageBreakBefore w:val="0"/>
        <w:widowControl w:val="0"/>
        <w:numPr>
          <w:ilvl w:val="0"/>
          <w:numId w:val="9"/>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解码能力：</w:t>
      </w:r>
      <w:r>
        <w:rPr>
          <w:rFonts w:hint="eastAsia"/>
          <w:lang w:val="en-US" w:eastAsia="zh-CN"/>
        </w:rPr>
        <w:t>达到或优于</w:t>
      </w:r>
      <w:r>
        <w:rPr>
          <w:rFonts w:hint="eastAsia"/>
          <w:lang w:eastAsia="zh-CN"/>
        </w:rPr>
        <w:t>12路1080P@30fps；</w:t>
      </w:r>
    </w:p>
    <w:p>
      <w:pPr>
        <w:keepNext w:val="0"/>
        <w:keepLines w:val="0"/>
        <w:pageBreakBefore w:val="0"/>
        <w:widowControl w:val="0"/>
        <w:numPr>
          <w:ilvl w:val="0"/>
          <w:numId w:val="9"/>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视频输出：</w:t>
      </w:r>
      <w:r>
        <w:rPr>
          <w:rFonts w:hint="eastAsia"/>
          <w:lang w:val="en-US" w:eastAsia="zh-CN"/>
        </w:rPr>
        <w:t>≥</w:t>
      </w:r>
      <w:r>
        <w:rPr>
          <w:rFonts w:hint="eastAsia"/>
          <w:lang w:eastAsia="zh-CN"/>
        </w:rPr>
        <w:t>2路DVI视频异源输出每路分辨率最大支持1920*1080@60Hz；</w:t>
      </w:r>
    </w:p>
    <w:p>
      <w:pPr>
        <w:keepNext w:val="0"/>
        <w:keepLines w:val="0"/>
        <w:pageBreakBefore w:val="0"/>
        <w:widowControl w:val="0"/>
        <w:numPr>
          <w:ilvl w:val="0"/>
          <w:numId w:val="9"/>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视频压缩标准：MPEG4;MJPEG;H.264;H.265；</w:t>
      </w:r>
    </w:p>
    <w:p>
      <w:pPr>
        <w:keepNext w:val="0"/>
        <w:keepLines w:val="0"/>
        <w:pageBreakBefore w:val="0"/>
        <w:widowControl w:val="0"/>
        <w:numPr>
          <w:ilvl w:val="0"/>
          <w:numId w:val="9"/>
        </w:numPr>
        <w:kinsoku/>
        <w:wordWrap/>
        <w:overflowPunct/>
        <w:topLinePunct w:val="0"/>
        <w:autoSpaceDE/>
        <w:autoSpaceDN/>
        <w:bidi w:val="0"/>
        <w:adjustRightInd/>
        <w:snapToGrid/>
        <w:ind w:left="665" w:leftChars="0" w:hanging="425" w:firstLineChars="0"/>
        <w:textAlignment w:val="auto"/>
        <w:rPr>
          <w:rFonts w:hint="eastAsia"/>
          <w:highlight w:val="none"/>
          <w:lang w:eastAsia="zh-CN"/>
        </w:rPr>
      </w:pPr>
      <w:r>
        <w:rPr>
          <w:rFonts w:hint="eastAsia"/>
          <w:highlight w:val="none"/>
          <w:lang w:eastAsia="zh-CN"/>
        </w:rPr>
        <w:t>网络协议：IP Search;IP Filter;DNS;DHCP;NTP;UDP;RTSP;IPv4;TCP/IP;HTTPS;HTTP</w:t>
      </w:r>
      <w:r>
        <w:rPr>
          <w:rFonts w:hint="eastAsia"/>
          <w:highlight w:val="none"/>
          <w:lang w:val="en-US" w:eastAsia="zh-CN"/>
        </w:rPr>
        <w:t>等</w:t>
      </w:r>
      <w:r>
        <w:rPr>
          <w:rFonts w:hint="eastAsia"/>
          <w:highlight w:val="none"/>
          <w:lang w:eastAsia="zh-CN"/>
        </w:rPr>
        <w:t>；</w:t>
      </w:r>
    </w:p>
    <w:p>
      <w:pPr>
        <w:keepNext w:val="0"/>
        <w:keepLines w:val="0"/>
        <w:pageBreakBefore w:val="0"/>
        <w:widowControl w:val="0"/>
        <w:numPr>
          <w:ilvl w:val="0"/>
          <w:numId w:val="9"/>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硬盘接口：</w:t>
      </w:r>
      <w:r>
        <w:rPr>
          <w:rFonts w:hint="eastAsia"/>
          <w:lang w:val="en-US" w:eastAsia="zh-CN"/>
        </w:rPr>
        <w:t>不少于</w:t>
      </w:r>
      <w:r>
        <w:rPr>
          <w:rFonts w:hint="eastAsia"/>
          <w:lang w:eastAsia="zh-CN"/>
        </w:rPr>
        <w:t>4个，SATA3.0，单盘最大10T；</w:t>
      </w:r>
    </w:p>
    <w:p>
      <w:pPr>
        <w:keepNext w:val="0"/>
        <w:keepLines w:val="0"/>
        <w:pageBreakBefore w:val="0"/>
        <w:widowControl w:val="0"/>
        <w:numPr>
          <w:ilvl w:val="0"/>
          <w:numId w:val="9"/>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主处理器：</w:t>
      </w:r>
      <w:r>
        <w:rPr>
          <w:rFonts w:hint="eastAsia"/>
          <w:lang w:val="en-US" w:eastAsia="zh-CN"/>
        </w:rPr>
        <w:t>达到或优于</w:t>
      </w:r>
      <w:r>
        <w:rPr>
          <w:rFonts w:hint="eastAsia"/>
          <w:lang w:eastAsia="zh-CN"/>
        </w:rPr>
        <w:t>intel 双核处理器；</w:t>
      </w:r>
    </w:p>
    <w:p>
      <w:pPr>
        <w:keepNext w:val="0"/>
        <w:keepLines w:val="0"/>
        <w:pageBreakBefore w:val="0"/>
        <w:widowControl w:val="0"/>
        <w:numPr>
          <w:ilvl w:val="0"/>
          <w:numId w:val="9"/>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报警输出：</w:t>
      </w:r>
      <w:r>
        <w:rPr>
          <w:rFonts w:hint="eastAsia"/>
          <w:lang w:val="en-US" w:eastAsia="zh-CN"/>
        </w:rPr>
        <w:t>达到或优于</w:t>
      </w:r>
      <w:r>
        <w:rPr>
          <w:rFonts w:hint="eastAsia"/>
          <w:lang w:eastAsia="zh-CN"/>
        </w:rPr>
        <w:t>1路报警输出（支持12V供电）；</w:t>
      </w:r>
    </w:p>
    <w:p>
      <w:pPr>
        <w:keepNext w:val="0"/>
        <w:keepLines w:val="0"/>
        <w:pageBreakBefore w:val="0"/>
        <w:widowControl w:val="0"/>
        <w:numPr>
          <w:ilvl w:val="0"/>
          <w:numId w:val="9"/>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线分辨力：</w:t>
      </w:r>
      <w:r>
        <w:rPr>
          <w:rFonts w:hint="eastAsia"/>
          <w:lang w:val="en-US" w:eastAsia="zh-CN"/>
        </w:rPr>
        <w:t>达到或优于</w:t>
      </w:r>
      <w:r>
        <w:rPr>
          <w:rFonts w:hint="eastAsia"/>
          <w:lang w:eastAsia="zh-CN"/>
        </w:rPr>
        <w:t>40 AWG；</w:t>
      </w:r>
    </w:p>
    <w:p>
      <w:pPr>
        <w:keepNext w:val="0"/>
        <w:keepLines w:val="0"/>
        <w:pageBreakBefore w:val="0"/>
        <w:widowControl w:val="0"/>
        <w:numPr>
          <w:ilvl w:val="0"/>
          <w:numId w:val="9"/>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穿透分辨力：</w:t>
      </w:r>
      <w:r>
        <w:rPr>
          <w:rFonts w:hint="eastAsia"/>
          <w:lang w:val="en-US" w:eastAsia="zh-CN"/>
        </w:rPr>
        <w:t>达到或优于</w:t>
      </w:r>
      <w:r>
        <w:rPr>
          <w:rFonts w:hint="eastAsia"/>
          <w:lang w:eastAsia="zh-CN"/>
        </w:rPr>
        <w:t>34 AWG；</w:t>
      </w:r>
    </w:p>
    <w:p>
      <w:pPr>
        <w:keepNext w:val="0"/>
        <w:keepLines w:val="0"/>
        <w:pageBreakBefore w:val="0"/>
        <w:widowControl w:val="0"/>
        <w:numPr>
          <w:ilvl w:val="0"/>
          <w:numId w:val="9"/>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空间分辨力：</w:t>
      </w:r>
      <w:r>
        <w:rPr>
          <w:rFonts w:hint="eastAsia"/>
          <w:lang w:val="en-US" w:eastAsia="zh-CN"/>
        </w:rPr>
        <w:t>达到或优于</w:t>
      </w:r>
      <w:r>
        <w:rPr>
          <w:rFonts w:hint="eastAsia"/>
          <w:lang w:eastAsia="zh-CN"/>
        </w:rPr>
        <w:t>垂直：0.8mm 水平：0.8mm ;</w:t>
      </w:r>
    </w:p>
    <w:p>
      <w:pPr>
        <w:keepNext w:val="0"/>
        <w:keepLines w:val="0"/>
        <w:pageBreakBefore w:val="0"/>
        <w:widowControl w:val="0"/>
        <w:numPr>
          <w:ilvl w:val="0"/>
          <w:numId w:val="9"/>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穿透力：</w:t>
      </w:r>
      <w:r>
        <w:rPr>
          <w:rFonts w:hint="eastAsia"/>
          <w:lang w:val="en-US" w:eastAsia="zh-CN"/>
        </w:rPr>
        <w:t>达到或优于</w:t>
      </w:r>
      <w:r>
        <w:rPr>
          <w:rFonts w:hint="eastAsia"/>
          <w:lang w:eastAsia="zh-CN"/>
        </w:rPr>
        <w:t>36mm</w:t>
      </w:r>
    </w:p>
    <w:p>
      <w:pPr>
        <w:keepNext w:val="0"/>
        <w:keepLines w:val="0"/>
        <w:pageBreakBefore w:val="0"/>
        <w:widowControl w:val="0"/>
        <w:numPr>
          <w:ilvl w:val="0"/>
          <w:numId w:val="9"/>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传送带速度：</w:t>
      </w:r>
      <w:r>
        <w:rPr>
          <w:rFonts w:hint="eastAsia"/>
          <w:lang w:val="en-US" w:eastAsia="zh-CN"/>
        </w:rPr>
        <w:t>达到或优于</w:t>
      </w:r>
      <w:r>
        <w:rPr>
          <w:rFonts w:hint="eastAsia"/>
          <w:lang w:eastAsia="zh-CN"/>
        </w:rPr>
        <w:t>约0.2m/s；</w:t>
      </w:r>
    </w:p>
    <w:p>
      <w:pPr>
        <w:keepNext w:val="0"/>
        <w:keepLines w:val="0"/>
        <w:pageBreakBefore w:val="0"/>
        <w:widowControl w:val="0"/>
        <w:numPr>
          <w:ilvl w:val="0"/>
          <w:numId w:val="9"/>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传送带最大负荷：</w:t>
      </w:r>
      <w:r>
        <w:rPr>
          <w:rFonts w:hint="eastAsia"/>
          <w:lang w:val="en-US" w:eastAsia="zh-CN"/>
        </w:rPr>
        <w:t>达到或优于</w:t>
      </w:r>
      <w:r>
        <w:rPr>
          <w:rFonts w:hint="eastAsia"/>
          <w:lang w:eastAsia="zh-CN"/>
        </w:rPr>
        <w:t>170Kg；</w:t>
      </w:r>
    </w:p>
    <w:p>
      <w:pPr>
        <w:keepNext w:val="0"/>
        <w:keepLines w:val="0"/>
        <w:pageBreakBefore w:val="0"/>
        <w:widowControl w:val="0"/>
        <w:numPr>
          <w:ilvl w:val="0"/>
          <w:numId w:val="9"/>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胶卷安全性：</w:t>
      </w:r>
      <w:r>
        <w:rPr>
          <w:rFonts w:hint="eastAsia"/>
          <w:lang w:val="en-US" w:eastAsia="zh-CN"/>
        </w:rPr>
        <w:t>达到或优于</w:t>
      </w:r>
      <w:r>
        <w:rPr>
          <w:rFonts w:hint="eastAsia"/>
          <w:lang w:eastAsia="zh-CN"/>
        </w:rPr>
        <w:t>对符合ASA/ISO 1600标准胶卷安全；</w:t>
      </w:r>
    </w:p>
    <w:p>
      <w:pPr>
        <w:keepNext w:val="0"/>
        <w:keepLines w:val="0"/>
        <w:pageBreakBefore w:val="0"/>
        <w:widowControl w:val="0"/>
        <w:numPr>
          <w:ilvl w:val="0"/>
          <w:numId w:val="9"/>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物体识别：对通过X射线扫描的包裹进行物品智能识别，智能框跟随物品移动；</w:t>
      </w:r>
    </w:p>
    <w:p>
      <w:pPr>
        <w:keepNext w:val="0"/>
        <w:keepLines w:val="0"/>
        <w:pageBreakBefore w:val="0"/>
        <w:widowControl w:val="0"/>
        <w:numPr>
          <w:ilvl w:val="0"/>
          <w:numId w:val="9"/>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识别种类：</w:t>
      </w:r>
      <w:r>
        <w:rPr>
          <w:rFonts w:hint="eastAsia"/>
          <w:lang w:val="en-US" w:eastAsia="zh-CN"/>
        </w:rPr>
        <w:t>达到或优于</w:t>
      </w:r>
      <w:r>
        <w:rPr>
          <w:rFonts w:hint="eastAsia"/>
          <w:lang w:eastAsia="zh-CN"/>
        </w:rPr>
        <w:t>支持12种物品识别，如刀具、枪支、喷灌、液体、打火机、烟花爆竹、指虎、警棍、手铐、电子产品、雨伞、钝器等违禁物品；</w:t>
      </w:r>
      <w:r>
        <w:t>（须提供产品实物照片佐证，并且中标后须验证该参数和功能）</w:t>
      </w:r>
    </w:p>
    <w:p>
      <w:pPr>
        <w:keepNext w:val="0"/>
        <w:keepLines w:val="0"/>
        <w:pageBreakBefore w:val="0"/>
        <w:widowControl w:val="0"/>
        <w:numPr>
          <w:ilvl w:val="0"/>
          <w:numId w:val="9"/>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危险等级：高危，警告，安全，可根据物品种类自定义危险等级；</w:t>
      </w:r>
    </w:p>
    <w:p>
      <w:pPr>
        <w:keepNext w:val="0"/>
        <w:keepLines w:val="0"/>
        <w:pageBreakBefore w:val="0"/>
        <w:widowControl w:val="0"/>
        <w:numPr>
          <w:ilvl w:val="0"/>
          <w:numId w:val="9"/>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硬盘数量：</w:t>
      </w:r>
      <w:r>
        <w:rPr>
          <w:rFonts w:hint="eastAsia"/>
          <w:lang w:val="en-US" w:eastAsia="zh-CN"/>
        </w:rPr>
        <w:t>达到或优于</w:t>
      </w:r>
      <w:r>
        <w:rPr>
          <w:rFonts w:hint="eastAsia"/>
          <w:lang w:eastAsia="zh-CN"/>
        </w:rPr>
        <w:t>4个SATA3.0，最大支持4块10T SATA硬盘，默认配置</w:t>
      </w:r>
      <w:r>
        <w:rPr>
          <w:rFonts w:hint="eastAsia"/>
          <w:lang w:val="en-US" w:eastAsia="zh-CN"/>
        </w:rPr>
        <w:t>不少于</w:t>
      </w:r>
      <w:r>
        <w:rPr>
          <w:rFonts w:hint="eastAsia"/>
          <w:lang w:eastAsia="zh-CN"/>
        </w:rPr>
        <w:t>1块4T硬盘；</w:t>
      </w:r>
    </w:p>
    <w:p>
      <w:pPr>
        <w:keepNext w:val="0"/>
        <w:keepLines w:val="0"/>
        <w:pageBreakBefore w:val="0"/>
        <w:widowControl w:val="0"/>
        <w:numPr>
          <w:ilvl w:val="0"/>
          <w:numId w:val="9"/>
        </w:numPr>
        <w:kinsoku/>
        <w:wordWrap/>
        <w:overflowPunct/>
        <w:topLinePunct w:val="0"/>
        <w:autoSpaceDE/>
        <w:autoSpaceDN/>
        <w:bidi w:val="0"/>
        <w:adjustRightInd/>
        <w:snapToGrid/>
        <w:ind w:left="665" w:leftChars="0" w:hanging="425" w:firstLineChars="0"/>
        <w:textAlignment w:val="auto"/>
        <w:rPr>
          <w:rFonts w:hint="eastAsia"/>
          <w:lang w:eastAsia="zh-CN"/>
        </w:rPr>
      </w:pPr>
      <w:r>
        <w:rPr>
          <w:rFonts w:hint="eastAsia"/>
          <w:lang w:eastAsia="zh-CN"/>
        </w:rPr>
        <w:t>供电方式：AC 220V～240V。</w:t>
      </w:r>
    </w:p>
    <w:p>
      <w:pPr>
        <w:pStyle w:val="3"/>
        <w:rPr>
          <w:rFonts w:ascii="宋体" w:hAnsi="宋体" w:eastAsia="宋体" w:cs="宋体"/>
          <w:color w:val="auto"/>
        </w:rPr>
      </w:pPr>
      <w:r>
        <w:rPr>
          <w:rFonts w:hint="eastAsia" w:ascii="宋体" w:hAnsi="宋体" w:eastAsia="宋体" w:cs="宋体"/>
          <w:color w:val="auto"/>
        </w:rPr>
        <w:t>安检门</w:t>
      </w:r>
    </w:p>
    <w:p>
      <w:pPr>
        <w:keepNext w:val="0"/>
        <w:keepLines w:val="0"/>
        <w:pageBreakBefore w:val="0"/>
        <w:widowControl w:val="0"/>
        <w:numPr>
          <w:ilvl w:val="0"/>
          <w:numId w:val="10"/>
        </w:numPr>
        <w:kinsoku/>
        <w:wordWrap/>
        <w:overflowPunct/>
        <w:topLinePunct w:val="0"/>
        <w:autoSpaceDE/>
        <w:autoSpaceDN/>
        <w:bidi w:val="0"/>
        <w:adjustRightInd/>
        <w:snapToGrid/>
        <w:ind w:left="665" w:leftChars="0" w:hanging="425" w:firstLineChars="0"/>
        <w:textAlignment w:val="auto"/>
        <w:rPr>
          <w:rFonts w:hint="eastAsia" w:eastAsiaTheme="minorEastAsia"/>
          <w:lang w:eastAsia="zh-CN"/>
        </w:rPr>
      </w:pPr>
      <w:r>
        <w:t>金属安检门尺寸要求：</w:t>
      </w:r>
      <w:r>
        <w:rPr>
          <w:rFonts w:hint="eastAsia"/>
        </w:rPr>
        <w:t>高度≥</w:t>
      </w:r>
      <w:r>
        <w:t>2000mm</w:t>
      </w:r>
      <w:r>
        <w:rPr>
          <w:rFonts w:hint="eastAsia"/>
          <w:lang w:eastAsia="zh-CN"/>
        </w:rPr>
        <w:t>、</w:t>
      </w:r>
      <w:r>
        <w:rPr>
          <w:rFonts w:hint="eastAsia"/>
        </w:rPr>
        <w:t>宽度≥</w:t>
      </w:r>
      <w:r>
        <w:t>730mm</w:t>
      </w:r>
      <w:r>
        <w:rPr>
          <w:rFonts w:hint="eastAsia"/>
          <w:lang w:eastAsia="zh-CN"/>
        </w:rPr>
        <w:t>、</w:t>
      </w:r>
      <w:r>
        <w:rPr>
          <w:rFonts w:hint="eastAsia"/>
        </w:rPr>
        <w:t>深度≥</w:t>
      </w:r>
      <w:r>
        <w:t>450mm</w:t>
      </w:r>
      <w:r>
        <w:rPr>
          <w:rFonts w:hint="eastAsia"/>
          <w:lang w:eastAsia="zh-CN"/>
        </w:rPr>
        <w:t>；</w:t>
      </w:r>
    </w:p>
    <w:p>
      <w:pPr>
        <w:keepNext w:val="0"/>
        <w:keepLines w:val="0"/>
        <w:pageBreakBefore w:val="0"/>
        <w:widowControl w:val="0"/>
        <w:numPr>
          <w:ilvl w:val="0"/>
          <w:numId w:val="10"/>
        </w:numPr>
        <w:kinsoku/>
        <w:wordWrap/>
        <w:overflowPunct/>
        <w:topLinePunct w:val="0"/>
        <w:autoSpaceDE/>
        <w:autoSpaceDN/>
        <w:bidi w:val="0"/>
        <w:adjustRightInd/>
        <w:snapToGrid/>
        <w:ind w:left="665" w:leftChars="0" w:hanging="425" w:firstLineChars="0"/>
        <w:textAlignment w:val="auto"/>
      </w:pPr>
      <w:r>
        <w:rPr>
          <w:rFonts w:hint="eastAsia"/>
        </w:rPr>
        <w:t>工作温度：</w:t>
      </w:r>
      <w:r>
        <w:t>-25℃~+65℃，RH≤93%</w:t>
      </w:r>
      <w:r>
        <w:rPr>
          <w:rFonts w:hint="eastAsia"/>
          <w:lang w:eastAsia="zh-CN"/>
        </w:rPr>
        <w:t>；</w:t>
      </w:r>
    </w:p>
    <w:p>
      <w:pPr>
        <w:keepNext w:val="0"/>
        <w:keepLines w:val="0"/>
        <w:pageBreakBefore w:val="0"/>
        <w:widowControl w:val="0"/>
        <w:numPr>
          <w:ilvl w:val="0"/>
          <w:numId w:val="10"/>
        </w:numPr>
        <w:kinsoku/>
        <w:wordWrap/>
        <w:overflowPunct/>
        <w:topLinePunct w:val="0"/>
        <w:autoSpaceDE/>
        <w:autoSpaceDN/>
        <w:bidi w:val="0"/>
        <w:adjustRightInd/>
        <w:snapToGrid/>
        <w:ind w:left="665" w:leftChars="0" w:hanging="425" w:firstLineChars="0"/>
        <w:textAlignment w:val="auto"/>
      </w:pPr>
      <w:r>
        <w:rPr>
          <w:rFonts w:hint="eastAsia"/>
        </w:rPr>
        <w:t>工作电压：</w:t>
      </w:r>
      <w:r>
        <w:t>AC85V~AC264V，47Hz~64Hz</w:t>
      </w:r>
      <w:r>
        <w:rPr>
          <w:rFonts w:hint="eastAsia"/>
          <w:lang w:eastAsia="zh-CN"/>
        </w:rPr>
        <w:t>；</w:t>
      </w:r>
    </w:p>
    <w:p>
      <w:pPr>
        <w:keepNext w:val="0"/>
        <w:keepLines w:val="0"/>
        <w:pageBreakBefore w:val="0"/>
        <w:widowControl w:val="0"/>
        <w:numPr>
          <w:ilvl w:val="0"/>
          <w:numId w:val="10"/>
        </w:numPr>
        <w:kinsoku/>
        <w:wordWrap/>
        <w:overflowPunct/>
        <w:topLinePunct w:val="0"/>
        <w:autoSpaceDE/>
        <w:autoSpaceDN/>
        <w:bidi w:val="0"/>
        <w:adjustRightInd/>
        <w:snapToGrid/>
        <w:ind w:left="665" w:leftChars="0" w:hanging="425" w:firstLineChars="0"/>
        <w:textAlignment w:val="auto"/>
      </w:pPr>
      <w:r>
        <w:rPr>
          <w:rFonts w:hint="eastAsia"/>
        </w:rPr>
        <w:t>设备功率：有功功率≤</w:t>
      </w:r>
      <w:r>
        <w:t>15W</w:t>
      </w:r>
      <w:r>
        <w:rPr>
          <w:rFonts w:hint="eastAsia"/>
          <w:lang w:eastAsia="zh-CN"/>
        </w:rPr>
        <w:t>；</w:t>
      </w:r>
    </w:p>
    <w:p>
      <w:pPr>
        <w:keepNext w:val="0"/>
        <w:keepLines w:val="0"/>
        <w:pageBreakBefore w:val="0"/>
        <w:widowControl w:val="0"/>
        <w:numPr>
          <w:ilvl w:val="0"/>
          <w:numId w:val="10"/>
        </w:numPr>
        <w:kinsoku/>
        <w:wordWrap/>
        <w:overflowPunct/>
        <w:topLinePunct w:val="0"/>
        <w:autoSpaceDE/>
        <w:autoSpaceDN/>
        <w:bidi w:val="0"/>
        <w:adjustRightInd/>
        <w:snapToGrid/>
        <w:ind w:left="665" w:leftChars="0" w:hanging="425" w:firstLineChars="0"/>
        <w:textAlignment w:val="auto"/>
        <w:rPr>
          <w:b w:val="0"/>
          <w:bCs w:val="0"/>
        </w:rPr>
      </w:pPr>
      <w:r>
        <w:rPr>
          <w:rFonts w:hint="eastAsia"/>
          <w:lang w:eastAsia="zh-CN"/>
        </w:rPr>
        <w:t>▲</w:t>
      </w:r>
      <w:r>
        <w:rPr>
          <w:rFonts w:hint="eastAsia"/>
        </w:rPr>
        <w:t>防护等级：</w:t>
      </w:r>
      <w:r>
        <w:rPr>
          <w:rFonts w:hint="eastAsia"/>
          <w:lang w:val="en-US" w:eastAsia="zh-CN"/>
        </w:rPr>
        <w:t>达到或优于</w:t>
      </w:r>
      <w:r>
        <w:rPr>
          <w:rFonts w:hint="eastAsia"/>
        </w:rPr>
        <w:t>室外</w:t>
      </w:r>
      <w:r>
        <w:rPr>
          <w:rFonts w:hint="eastAsia"/>
          <w:b w:val="0"/>
          <w:bCs w:val="0"/>
        </w:rPr>
        <w:t>工作型</w:t>
      </w:r>
      <w:r>
        <w:rPr>
          <w:rFonts w:hint="eastAsia"/>
          <w:b w:val="0"/>
          <w:bCs w:val="0"/>
          <w:lang w:eastAsia="zh-CN"/>
        </w:rPr>
        <w:t>、</w:t>
      </w:r>
      <w:r>
        <w:rPr>
          <w:b w:val="0"/>
          <w:bCs w:val="0"/>
        </w:rPr>
        <w:t>IP54</w:t>
      </w:r>
      <w:r>
        <w:rPr>
          <w:rFonts w:hint="eastAsia"/>
          <w:b w:val="0"/>
          <w:bCs w:val="0"/>
          <w:lang w:eastAsia="zh-CN"/>
        </w:rPr>
        <w:t>《</w:t>
      </w:r>
      <w:r>
        <w:rPr>
          <w:b w:val="0"/>
          <w:bCs w:val="0"/>
        </w:rPr>
        <w:t>需提供公安部权威检测报告并加盖公章</w:t>
      </w:r>
      <w:r>
        <w:rPr>
          <w:rFonts w:hint="eastAsia"/>
          <w:b w:val="0"/>
          <w:bCs w:val="0"/>
          <w:lang w:eastAsia="zh-CN"/>
        </w:rPr>
        <w:t>》；</w:t>
      </w:r>
    </w:p>
    <w:p>
      <w:pPr>
        <w:keepNext w:val="0"/>
        <w:keepLines w:val="0"/>
        <w:pageBreakBefore w:val="0"/>
        <w:widowControl w:val="0"/>
        <w:numPr>
          <w:ilvl w:val="0"/>
          <w:numId w:val="10"/>
        </w:numPr>
        <w:kinsoku/>
        <w:wordWrap/>
        <w:overflowPunct/>
        <w:topLinePunct w:val="0"/>
        <w:autoSpaceDE/>
        <w:autoSpaceDN/>
        <w:bidi w:val="0"/>
        <w:adjustRightInd/>
        <w:snapToGrid/>
        <w:ind w:left="665" w:leftChars="0" w:hanging="425" w:firstLineChars="0"/>
        <w:textAlignment w:val="auto"/>
      </w:pPr>
      <w:r>
        <w:rPr>
          <w:rFonts w:hint="eastAsia"/>
        </w:rPr>
        <w:t>安检门主机端配置不小于</w:t>
      </w:r>
      <w:r>
        <w:t>3.5寸的LCD显示屏，同时配置有独立的人形报警灯板，以显示不同区位的金属报警（须提供产品实物照片佐证，并且中标后须验证该参数和功能）</w:t>
      </w:r>
      <w:r>
        <w:rPr>
          <w:rFonts w:hint="eastAsia"/>
          <w:lang w:eastAsia="zh-CN"/>
        </w:rPr>
        <w:t>；</w:t>
      </w:r>
    </w:p>
    <w:p>
      <w:pPr>
        <w:keepNext w:val="0"/>
        <w:keepLines w:val="0"/>
        <w:pageBreakBefore w:val="0"/>
        <w:widowControl w:val="0"/>
        <w:numPr>
          <w:ilvl w:val="0"/>
          <w:numId w:val="10"/>
        </w:numPr>
        <w:kinsoku/>
        <w:wordWrap/>
        <w:overflowPunct/>
        <w:topLinePunct w:val="0"/>
        <w:autoSpaceDE/>
        <w:autoSpaceDN/>
        <w:bidi w:val="0"/>
        <w:adjustRightInd/>
        <w:snapToGrid/>
        <w:ind w:left="665" w:leftChars="0" w:hanging="425" w:firstLineChars="0"/>
        <w:textAlignment w:val="auto"/>
      </w:pPr>
      <w:r>
        <w:rPr>
          <w:rFonts w:hint="eastAsia"/>
        </w:rPr>
        <w:t>安检门主机端配置不小于</w:t>
      </w:r>
      <w:r>
        <w:t>7寸的LCD触摸显示屏，可通过触摸屏操作进行安检门的菜单设置和参数调整（须提供产品实物照片佐证，并且中标后须验证该参数）</w:t>
      </w:r>
      <w:r>
        <w:rPr>
          <w:rFonts w:hint="eastAsia"/>
          <w:lang w:eastAsia="zh-CN"/>
        </w:rPr>
        <w:t>；</w:t>
      </w:r>
    </w:p>
    <w:p>
      <w:pPr>
        <w:keepNext w:val="0"/>
        <w:keepLines w:val="0"/>
        <w:pageBreakBefore w:val="0"/>
        <w:widowControl w:val="0"/>
        <w:numPr>
          <w:ilvl w:val="0"/>
          <w:numId w:val="10"/>
        </w:numPr>
        <w:kinsoku/>
        <w:wordWrap/>
        <w:overflowPunct/>
        <w:topLinePunct w:val="0"/>
        <w:autoSpaceDE/>
        <w:autoSpaceDN/>
        <w:bidi w:val="0"/>
        <w:adjustRightInd/>
        <w:snapToGrid/>
        <w:ind w:left="665" w:leftChars="0" w:hanging="425" w:firstLineChars="0"/>
        <w:textAlignment w:val="auto"/>
      </w:pPr>
      <w:r>
        <w:rPr>
          <w:rFonts w:hint="eastAsia"/>
        </w:rPr>
        <w:t>界面显示功能：安检门可在</w:t>
      </w:r>
      <w:r>
        <w:t>LCD显示屏显示金属门通过人数、报警人数、报警信息、时间、红外状态、音量和频率等信息；设备在正常工作时，显示屏上有绿色工作状态指示灯闪烁</w:t>
      </w:r>
      <w:r>
        <w:rPr>
          <w:rFonts w:hint="eastAsia"/>
          <w:lang w:eastAsia="zh-CN"/>
        </w:rPr>
        <w:t>；</w:t>
      </w:r>
    </w:p>
    <w:p>
      <w:pPr>
        <w:keepNext w:val="0"/>
        <w:keepLines w:val="0"/>
        <w:pageBreakBefore w:val="0"/>
        <w:widowControl w:val="0"/>
        <w:numPr>
          <w:ilvl w:val="0"/>
          <w:numId w:val="10"/>
        </w:numPr>
        <w:kinsoku/>
        <w:wordWrap/>
        <w:overflowPunct/>
        <w:topLinePunct w:val="0"/>
        <w:autoSpaceDE/>
        <w:autoSpaceDN/>
        <w:bidi w:val="0"/>
        <w:adjustRightInd/>
        <w:snapToGrid/>
        <w:ind w:left="665" w:leftChars="0" w:hanging="425" w:firstLineChars="0"/>
        <w:textAlignment w:val="auto"/>
        <w:rPr>
          <w:b w:val="0"/>
          <w:bCs w:val="0"/>
        </w:rPr>
      </w:pPr>
      <w:r>
        <w:rPr>
          <w:rFonts w:hint="eastAsia"/>
          <w:lang w:eastAsia="zh-CN"/>
        </w:rPr>
        <w:t>▲</w:t>
      </w:r>
      <w:r>
        <w:rPr>
          <w:rFonts w:hint="eastAsia"/>
        </w:rPr>
        <w:t>设备辐射磁感应要求：在探测区左右边界各向内</w:t>
      </w:r>
      <w:r>
        <w:t>150mm的区域中，任意一点的辐射磁感应强</w:t>
      </w:r>
      <w:r>
        <w:rPr>
          <w:b w:val="0"/>
          <w:bCs w:val="0"/>
        </w:rPr>
        <w:t>度均应小于等于10uT</w:t>
      </w:r>
      <w:r>
        <w:rPr>
          <w:rFonts w:hint="eastAsia"/>
          <w:b w:val="0"/>
          <w:bCs w:val="0"/>
          <w:lang w:eastAsia="zh-CN"/>
        </w:rPr>
        <w:t>《</w:t>
      </w:r>
      <w:r>
        <w:rPr>
          <w:b w:val="0"/>
          <w:bCs w:val="0"/>
        </w:rPr>
        <w:t>需提供公安部权威检测报告并加盖公章</w:t>
      </w:r>
      <w:r>
        <w:rPr>
          <w:rFonts w:hint="eastAsia"/>
          <w:b w:val="0"/>
          <w:bCs w:val="0"/>
          <w:lang w:eastAsia="zh-CN"/>
        </w:rPr>
        <w:t>》；</w:t>
      </w:r>
    </w:p>
    <w:p>
      <w:pPr>
        <w:keepNext w:val="0"/>
        <w:keepLines w:val="0"/>
        <w:pageBreakBefore w:val="0"/>
        <w:widowControl w:val="0"/>
        <w:numPr>
          <w:ilvl w:val="0"/>
          <w:numId w:val="10"/>
        </w:numPr>
        <w:kinsoku/>
        <w:wordWrap/>
        <w:overflowPunct/>
        <w:topLinePunct w:val="0"/>
        <w:autoSpaceDE/>
        <w:autoSpaceDN/>
        <w:bidi w:val="0"/>
        <w:adjustRightInd/>
        <w:snapToGrid/>
        <w:ind w:left="665" w:leftChars="0" w:hanging="425" w:firstLineChars="0"/>
        <w:textAlignment w:val="auto"/>
        <w:rPr>
          <w:b w:val="0"/>
          <w:bCs w:val="0"/>
        </w:rPr>
      </w:pPr>
      <w:r>
        <w:rPr>
          <w:rFonts w:hint="eastAsia"/>
          <w:b w:val="0"/>
          <w:bCs w:val="0"/>
          <w:lang w:eastAsia="zh-CN"/>
        </w:rPr>
        <w:t>▲</w:t>
      </w:r>
      <w:r>
        <w:rPr>
          <w:rFonts w:hint="eastAsia"/>
          <w:b w:val="0"/>
          <w:bCs w:val="0"/>
        </w:rPr>
        <w:t>灵敏度设置功能：安检门具备灵敏度等级</w:t>
      </w:r>
      <w:r>
        <w:rPr>
          <w:b w:val="0"/>
          <w:bCs w:val="0"/>
        </w:rPr>
        <w:t>9000级可调</w:t>
      </w:r>
      <w:r>
        <w:rPr>
          <w:rFonts w:hint="eastAsia"/>
          <w:b w:val="0"/>
          <w:bCs w:val="0"/>
          <w:lang w:eastAsia="zh-CN"/>
        </w:rPr>
        <w:t>《</w:t>
      </w:r>
      <w:r>
        <w:rPr>
          <w:b w:val="0"/>
          <w:bCs w:val="0"/>
        </w:rPr>
        <w:t>需提供公安部权威检测报告并加盖公章</w:t>
      </w:r>
      <w:r>
        <w:rPr>
          <w:rFonts w:hint="eastAsia"/>
          <w:b w:val="0"/>
          <w:bCs w:val="0"/>
          <w:lang w:eastAsia="zh-CN"/>
        </w:rPr>
        <w:t>》；</w:t>
      </w:r>
    </w:p>
    <w:p>
      <w:pPr>
        <w:keepNext w:val="0"/>
        <w:keepLines w:val="0"/>
        <w:pageBreakBefore w:val="0"/>
        <w:widowControl w:val="0"/>
        <w:numPr>
          <w:ilvl w:val="0"/>
          <w:numId w:val="10"/>
        </w:numPr>
        <w:kinsoku/>
        <w:wordWrap/>
        <w:overflowPunct/>
        <w:topLinePunct w:val="0"/>
        <w:autoSpaceDE/>
        <w:autoSpaceDN/>
        <w:bidi w:val="0"/>
        <w:adjustRightInd/>
        <w:snapToGrid/>
        <w:ind w:left="665" w:leftChars="0" w:hanging="425" w:firstLineChars="0"/>
        <w:textAlignment w:val="auto"/>
        <w:rPr>
          <w:b w:val="0"/>
          <w:bCs w:val="0"/>
        </w:rPr>
      </w:pPr>
      <w:r>
        <w:rPr>
          <w:rFonts w:hint="eastAsia"/>
          <w:b w:val="0"/>
          <w:bCs w:val="0"/>
          <w:lang w:eastAsia="zh-CN"/>
        </w:rPr>
        <w:t>▲</w:t>
      </w:r>
      <w:r>
        <w:rPr>
          <w:rFonts w:hint="eastAsia"/>
          <w:b w:val="0"/>
          <w:bCs w:val="0"/>
        </w:rPr>
        <w:t>探测精度：安检门所有区位</w:t>
      </w:r>
      <w:r>
        <w:rPr>
          <w:rFonts w:hint="eastAsia"/>
          <w:b w:val="0"/>
          <w:bCs w:val="0"/>
          <w:lang w:val="en-US" w:eastAsia="zh-CN"/>
        </w:rPr>
        <w:t>达到或优于</w:t>
      </w:r>
      <w:r>
        <w:rPr>
          <w:rFonts w:hint="eastAsia"/>
          <w:b w:val="0"/>
          <w:bCs w:val="0"/>
        </w:rPr>
        <w:t>可检测到</w:t>
      </w:r>
      <w:r>
        <w:rPr>
          <w:b w:val="0"/>
          <w:bCs w:val="0"/>
        </w:rPr>
        <w:t>1枚或者半枚3号回形针（总长度29mm）</w:t>
      </w:r>
      <w:r>
        <w:rPr>
          <w:rFonts w:hint="eastAsia"/>
          <w:b w:val="0"/>
          <w:bCs w:val="0"/>
          <w:lang w:eastAsia="zh-CN"/>
        </w:rPr>
        <w:t>《</w:t>
      </w:r>
      <w:r>
        <w:rPr>
          <w:b w:val="0"/>
          <w:bCs w:val="0"/>
        </w:rPr>
        <w:t>需提供公安部权威检测报告并加盖公章</w:t>
      </w:r>
      <w:r>
        <w:rPr>
          <w:rFonts w:hint="eastAsia"/>
          <w:b w:val="0"/>
          <w:bCs w:val="0"/>
          <w:lang w:eastAsia="zh-CN"/>
        </w:rPr>
        <w:t>》；</w:t>
      </w:r>
    </w:p>
    <w:p>
      <w:pPr>
        <w:keepNext w:val="0"/>
        <w:keepLines w:val="0"/>
        <w:pageBreakBefore w:val="0"/>
        <w:widowControl w:val="0"/>
        <w:numPr>
          <w:ilvl w:val="0"/>
          <w:numId w:val="10"/>
        </w:numPr>
        <w:kinsoku/>
        <w:wordWrap/>
        <w:overflowPunct/>
        <w:topLinePunct w:val="0"/>
        <w:autoSpaceDE/>
        <w:autoSpaceDN/>
        <w:bidi w:val="0"/>
        <w:adjustRightInd/>
        <w:snapToGrid/>
        <w:ind w:left="665" w:leftChars="0" w:hanging="425" w:firstLineChars="0"/>
        <w:textAlignment w:val="auto"/>
        <w:rPr>
          <w:b w:val="0"/>
          <w:bCs w:val="0"/>
        </w:rPr>
      </w:pPr>
      <w:r>
        <w:rPr>
          <w:rFonts w:hint="eastAsia"/>
          <w:b w:val="0"/>
          <w:bCs w:val="0"/>
        </w:rPr>
        <w:t>报警声音：安检门应支持至少</w:t>
      </w:r>
      <w:r>
        <w:rPr>
          <w:b w:val="0"/>
          <w:bCs w:val="0"/>
        </w:rPr>
        <w:t>15种报警音频，报警音量从静音到最大声强分</w:t>
      </w:r>
      <w:r>
        <w:rPr>
          <w:rFonts w:hint="eastAsia"/>
          <w:b w:val="0"/>
          <w:bCs w:val="0"/>
          <w:lang w:val="en-US" w:eastAsia="zh-CN"/>
        </w:rPr>
        <w:t>不少于</w:t>
      </w:r>
      <w:r>
        <w:rPr>
          <w:b w:val="0"/>
          <w:bCs w:val="0"/>
        </w:rPr>
        <w:t>255档调节，报警时长0-30秒可设置，最大声强≥105dB(A)</w:t>
      </w:r>
      <w:r>
        <w:rPr>
          <w:rFonts w:hint="eastAsia"/>
          <w:b w:val="0"/>
          <w:bCs w:val="0"/>
          <w:lang w:eastAsia="zh-CN"/>
        </w:rPr>
        <w:t>；</w:t>
      </w:r>
    </w:p>
    <w:p>
      <w:pPr>
        <w:keepNext w:val="0"/>
        <w:keepLines w:val="0"/>
        <w:pageBreakBefore w:val="0"/>
        <w:widowControl w:val="0"/>
        <w:numPr>
          <w:ilvl w:val="0"/>
          <w:numId w:val="10"/>
        </w:numPr>
        <w:kinsoku/>
        <w:wordWrap/>
        <w:overflowPunct/>
        <w:topLinePunct w:val="0"/>
        <w:autoSpaceDE/>
        <w:autoSpaceDN/>
        <w:bidi w:val="0"/>
        <w:adjustRightInd/>
        <w:snapToGrid/>
        <w:ind w:left="665" w:leftChars="0" w:hanging="425" w:firstLineChars="0"/>
        <w:textAlignment w:val="auto"/>
        <w:rPr>
          <w:b w:val="0"/>
          <w:bCs w:val="0"/>
        </w:rPr>
      </w:pPr>
      <w:r>
        <w:rPr>
          <w:rFonts w:hint="eastAsia"/>
          <w:b w:val="0"/>
          <w:bCs w:val="0"/>
          <w:lang w:eastAsia="zh-CN"/>
        </w:rPr>
        <w:t>▲</w:t>
      </w:r>
      <w:r>
        <w:rPr>
          <w:rFonts w:hint="eastAsia"/>
          <w:b w:val="0"/>
          <w:bCs w:val="0"/>
        </w:rPr>
        <w:t>频率设置：设备应可根据环境在开机时自动设置频率，也可支持手动设置</w:t>
      </w:r>
      <w:r>
        <w:rPr>
          <w:rFonts w:hint="eastAsia"/>
          <w:b w:val="0"/>
          <w:bCs w:val="0"/>
          <w:lang w:val="en-US" w:eastAsia="zh-CN"/>
        </w:rPr>
        <w:t>不少于</w:t>
      </w:r>
      <w:r>
        <w:rPr>
          <w:b w:val="0"/>
          <w:bCs w:val="0"/>
        </w:rPr>
        <w:t>100个频率等级，并支持</w:t>
      </w:r>
      <w:r>
        <w:rPr>
          <w:rFonts w:hint="eastAsia"/>
          <w:b w:val="0"/>
          <w:bCs w:val="0"/>
          <w:lang w:val="en-US" w:eastAsia="zh-CN"/>
        </w:rPr>
        <w:t>不少于</w:t>
      </w:r>
      <w:r>
        <w:rPr>
          <w:b w:val="0"/>
          <w:bCs w:val="0"/>
        </w:rPr>
        <w:t>20种典型频率快速选择，不同频率下工作具有不同的报警音</w:t>
      </w:r>
      <w:r>
        <w:rPr>
          <w:rFonts w:hint="eastAsia"/>
          <w:b w:val="0"/>
          <w:bCs w:val="0"/>
          <w:lang w:eastAsia="zh-CN"/>
        </w:rPr>
        <w:t>《</w:t>
      </w:r>
      <w:r>
        <w:rPr>
          <w:b w:val="0"/>
          <w:bCs w:val="0"/>
        </w:rPr>
        <w:t>需提供公安部权威检测报告并加盖公章</w:t>
      </w:r>
      <w:r>
        <w:rPr>
          <w:rFonts w:hint="eastAsia"/>
          <w:b w:val="0"/>
          <w:bCs w:val="0"/>
          <w:lang w:eastAsia="zh-CN"/>
        </w:rPr>
        <w:t>》；</w:t>
      </w:r>
    </w:p>
    <w:p>
      <w:pPr>
        <w:keepNext w:val="0"/>
        <w:keepLines w:val="0"/>
        <w:pageBreakBefore w:val="0"/>
        <w:widowControl w:val="0"/>
        <w:numPr>
          <w:ilvl w:val="0"/>
          <w:numId w:val="10"/>
        </w:numPr>
        <w:kinsoku/>
        <w:wordWrap/>
        <w:overflowPunct/>
        <w:topLinePunct w:val="0"/>
        <w:autoSpaceDE/>
        <w:autoSpaceDN/>
        <w:bidi w:val="0"/>
        <w:adjustRightInd/>
        <w:snapToGrid/>
        <w:ind w:left="665" w:leftChars="0" w:hanging="425" w:firstLineChars="0"/>
        <w:textAlignment w:val="auto"/>
        <w:rPr>
          <w:b w:val="0"/>
          <w:bCs w:val="0"/>
        </w:rPr>
      </w:pPr>
      <w:r>
        <w:rPr>
          <w:rFonts w:hint="eastAsia"/>
          <w:b w:val="0"/>
          <w:bCs w:val="0"/>
          <w:lang w:eastAsia="zh-CN"/>
        </w:rPr>
        <w:t>▲</w:t>
      </w:r>
      <w:r>
        <w:rPr>
          <w:rFonts w:hint="eastAsia"/>
          <w:b w:val="0"/>
          <w:bCs w:val="0"/>
        </w:rPr>
        <w:t>抗干扰能力：多台设备并排靠拢工作时，各设备应能独立正常工作，互不干扰；多台设备可根据环境在开机时自动设置频率，设备并排靠拢工作最近间隔</w:t>
      </w:r>
      <w:r>
        <w:rPr>
          <w:rFonts w:hint="eastAsia"/>
          <w:b w:val="0"/>
          <w:bCs w:val="0"/>
          <w:lang w:val="en-US" w:eastAsia="zh-CN"/>
        </w:rPr>
        <w:t>为达到或优于</w:t>
      </w:r>
      <w:r>
        <w:rPr>
          <w:b w:val="0"/>
          <w:bCs w:val="0"/>
        </w:rPr>
        <w:t>10cm</w:t>
      </w:r>
      <w:r>
        <w:rPr>
          <w:rFonts w:hint="eastAsia"/>
          <w:b w:val="0"/>
          <w:bCs w:val="0"/>
          <w:lang w:eastAsia="zh-CN"/>
        </w:rPr>
        <w:t>《</w:t>
      </w:r>
      <w:r>
        <w:rPr>
          <w:b w:val="0"/>
          <w:bCs w:val="0"/>
        </w:rPr>
        <w:t>需提供公安部权威检测报告并加盖公章</w:t>
      </w:r>
      <w:r>
        <w:rPr>
          <w:rFonts w:hint="eastAsia"/>
          <w:b w:val="0"/>
          <w:bCs w:val="0"/>
          <w:lang w:eastAsia="zh-CN"/>
        </w:rPr>
        <w:t>》；</w:t>
      </w:r>
    </w:p>
    <w:p>
      <w:pPr>
        <w:keepNext w:val="0"/>
        <w:keepLines w:val="0"/>
        <w:pageBreakBefore w:val="0"/>
        <w:widowControl w:val="0"/>
        <w:numPr>
          <w:ilvl w:val="0"/>
          <w:numId w:val="10"/>
        </w:numPr>
        <w:kinsoku/>
        <w:wordWrap/>
        <w:overflowPunct/>
        <w:topLinePunct w:val="0"/>
        <w:autoSpaceDE/>
        <w:autoSpaceDN/>
        <w:bidi w:val="0"/>
        <w:adjustRightInd/>
        <w:snapToGrid/>
        <w:ind w:left="665" w:leftChars="0" w:hanging="425" w:firstLineChars="0"/>
        <w:textAlignment w:val="auto"/>
        <w:rPr>
          <w:b w:val="0"/>
          <w:bCs w:val="0"/>
        </w:rPr>
      </w:pPr>
      <w:r>
        <w:rPr>
          <w:rFonts w:hint="eastAsia"/>
          <w:b w:val="0"/>
          <w:bCs w:val="0"/>
        </w:rPr>
        <w:t>金属探测分区功能：设备应可在</w:t>
      </w:r>
      <w:r>
        <w:rPr>
          <w:b w:val="0"/>
          <w:bCs w:val="0"/>
        </w:rPr>
        <w:t>1区、 6 区、 12 区、18 区、11区、22区、33区、45区等几种模式间切换，门板两侧内置LED灯带，可通过左右灯带对应显示物品的报警区域</w:t>
      </w:r>
      <w:r>
        <w:rPr>
          <w:rFonts w:hint="eastAsia"/>
          <w:b w:val="0"/>
          <w:bCs w:val="0"/>
          <w:lang w:eastAsia="zh-CN"/>
        </w:rPr>
        <w:t>；</w:t>
      </w:r>
    </w:p>
    <w:p>
      <w:pPr>
        <w:keepNext w:val="0"/>
        <w:keepLines w:val="0"/>
        <w:pageBreakBefore w:val="0"/>
        <w:widowControl w:val="0"/>
        <w:numPr>
          <w:ilvl w:val="0"/>
          <w:numId w:val="10"/>
        </w:numPr>
        <w:kinsoku/>
        <w:wordWrap/>
        <w:overflowPunct/>
        <w:topLinePunct w:val="0"/>
        <w:autoSpaceDE/>
        <w:autoSpaceDN/>
        <w:bidi w:val="0"/>
        <w:adjustRightInd/>
        <w:snapToGrid/>
        <w:ind w:left="665" w:leftChars="0" w:hanging="425" w:firstLineChars="0"/>
        <w:textAlignment w:val="auto"/>
        <w:rPr>
          <w:b w:val="0"/>
          <w:bCs w:val="0"/>
        </w:rPr>
      </w:pPr>
      <w:r>
        <w:rPr>
          <w:rFonts w:hint="eastAsia"/>
          <w:b w:val="0"/>
          <w:bCs w:val="0"/>
          <w:lang w:eastAsia="zh-CN"/>
        </w:rPr>
        <w:t>▲</w:t>
      </w:r>
      <w:r>
        <w:rPr>
          <w:rFonts w:hint="eastAsia"/>
          <w:b w:val="0"/>
          <w:bCs w:val="0"/>
        </w:rPr>
        <w:t>多区报警功能：当多个区域有报警物，对应的区域都应能显示报警</w:t>
      </w:r>
      <w:r>
        <w:rPr>
          <w:rFonts w:hint="eastAsia"/>
          <w:b w:val="0"/>
          <w:bCs w:val="0"/>
          <w:lang w:eastAsia="zh-CN"/>
        </w:rPr>
        <w:t>《</w:t>
      </w:r>
      <w:r>
        <w:rPr>
          <w:b w:val="0"/>
          <w:bCs w:val="0"/>
        </w:rPr>
        <w:t>需提供公安部权威检测报告并加盖公章</w:t>
      </w:r>
      <w:r>
        <w:rPr>
          <w:rFonts w:hint="eastAsia"/>
          <w:b w:val="0"/>
          <w:bCs w:val="0"/>
          <w:lang w:eastAsia="zh-CN"/>
        </w:rPr>
        <w:t>》</w:t>
      </w:r>
      <w:r>
        <w:rPr>
          <w:rFonts w:hint="eastAsia"/>
          <w:b w:val="0"/>
          <w:bCs w:val="0"/>
        </w:rPr>
        <w:t>；</w:t>
      </w:r>
    </w:p>
    <w:p>
      <w:pPr>
        <w:keepNext w:val="0"/>
        <w:keepLines w:val="0"/>
        <w:pageBreakBefore w:val="0"/>
        <w:widowControl w:val="0"/>
        <w:numPr>
          <w:ilvl w:val="0"/>
          <w:numId w:val="10"/>
        </w:numPr>
        <w:kinsoku/>
        <w:wordWrap/>
        <w:overflowPunct/>
        <w:topLinePunct w:val="0"/>
        <w:autoSpaceDE/>
        <w:autoSpaceDN/>
        <w:bidi w:val="0"/>
        <w:adjustRightInd/>
        <w:snapToGrid/>
        <w:ind w:left="665" w:leftChars="0" w:hanging="425" w:firstLineChars="0"/>
        <w:textAlignment w:val="auto"/>
        <w:rPr>
          <w:rFonts w:hint="eastAsia" w:eastAsiaTheme="minorEastAsia"/>
          <w:b w:val="0"/>
          <w:bCs w:val="0"/>
          <w:lang w:eastAsia="zh-CN"/>
        </w:rPr>
      </w:pPr>
      <w:r>
        <w:rPr>
          <w:rFonts w:hint="eastAsia"/>
          <w:b w:val="0"/>
          <w:bCs w:val="0"/>
        </w:rPr>
        <w:t>报警区位显示模式：</w:t>
      </w:r>
      <w:r>
        <w:rPr>
          <w:rFonts w:hint="eastAsia"/>
          <w:b w:val="0"/>
          <w:bCs w:val="0"/>
          <w:lang w:val="en-US" w:eastAsia="zh-CN"/>
        </w:rPr>
        <w:t>不少于</w:t>
      </w:r>
      <w:r>
        <w:rPr>
          <w:rFonts w:hint="eastAsia"/>
          <w:b w:val="0"/>
          <w:bCs w:val="0"/>
        </w:rPr>
        <w:t>有连续、间隔、单区</w:t>
      </w:r>
      <w:r>
        <w:rPr>
          <w:rFonts w:hint="eastAsia"/>
          <w:b w:val="0"/>
          <w:bCs w:val="0"/>
          <w:lang w:val="en-US" w:eastAsia="zh-CN"/>
        </w:rPr>
        <w:t>等</w:t>
      </w:r>
      <w:r>
        <w:rPr>
          <w:rFonts w:hint="eastAsia"/>
          <w:b w:val="0"/>
          <w:bCs w:val="0"/>
        </w:rPr>
        <w:t>三种模式，可定位报警位置</w:t>
      </w:r>
      <w:r>
        <w:rPr>
          <w:rFonts w:hint="eastAsia"/>
          <w:b w:val="0"/>
          <w:bCs w:val="0"/>
          <w:lang w:eastAsia="zh-CN"/>
        </w:rPr>
        <w:t>；</w:t>
      </w:r>
    </w:p>
    <w:p>
      <w:pPr>
        <w:keepNext w:val="0"/>
        <w:keepLines w:val="0"/>
        <w:pageBreakBefore w:val="0"/>
        <w:widowControl w:val="0"/>
        <w:numPr>
          <w:ilvl w:val="0"/>
          <w:numId w:val="10"/>
        </w:numPr>
        <w:kinsoku/>
        <w:wordWrap/>
        <w:overflowPunct/>
        <w:topLinePunct w:val="0"/>
        <w:autoSpaceDE/>
        <w:autoSpaceDN/>
        <w:bidi w:val="0"/>
        <w:adjustRightInd/>
        <w:snapToGrid/>
        <w:ind w:left="665" w:leftChars="0" w:hanging="425" w:firstLineChars="0"/>
        <w:textAlignment w:val="auto"/>
      </w:pPr>
      <w:r>
        <w:rPr>
          <w:rFonts w:hint="eastAsia"/>
          <w:b w:val="0"/>
          <w:bCs w:val="0"/>
        </w:rPr>
        <w:t>双向计数统计功能：安检门可双向记录</w:t>
      </w:r>
      <w:r>
        <w:rPr>
          <w:rFonts w:hint="eastAsia"/>
        </w:rPr>
        <w:t>过检人数和报警人数，支持进出双向叠加统计、进</w:t>
      </w:r>
      <w:r>
        <w:t>+出-统计（小于0时显示负数）、进-出+统计（小于0时显示负数）、进出分别统计显示</w:t>
      </w:r>
      <w:r>
        <w:rPr>
          <w:rFonts w:hint="eastAsia"/>
          <w:lang w:eastAsia="zh-CN"/>
        </w:rPr>
        <w:t>；</w:t>
      </w:r>
    </w:p>
    <w:p>
      <w:pPr>
        <w:keepNext w:val="0"/>
        <w:keepLines w:val="0"/>
        <w:pageBreakBefore w:val="0"/>
        <w:widowControl w:val="0"/>
        <w:numPr>
          <w:ilvl w:val="0"/>
          <w:numId w:val="10"/>
        </w:numPr>
        <w:kinsoku/>
        <w:wordWrap/>
        <w:overflowPunct/>
        <w:topLinePunct w:val="0"/>
        <w:autoSpaceDE/>
        <w:autoSpaceDN/>
        <w:bidi w:val="0"/>
        <w:adjustRightInd/>
        <w:snapToGrid/>
        <w:ind w:left="665" w:leftChars="0" w:hanging="425" w:firstLineChars="0"/>
        <w:textAlignment w:val="auto"/>
        <w:rPr>
          <w:rFonts w:hint="eastAsia"/>
        </w:rPr>
      </w:pPr>
      <w:r>
        <w:rPr>
          <w:rFonts w:hint="eastAsia"/>
        </w:rPr>
        <w:t>断电保护功能：设备断电回复后可保存断电前的设置；安检门在软件升级过程中断电，上电后可恢复到升级前的软件版本</w:t>
      </w:r>
      <w:r>
        <w:rPr>
          <w:rFonts w:hint="eastAsia"/>
          <w:lang w:eastAsia="zh-CN"/>
        </w:rPr>
        <w:t>；</w:t>
      </w:r>
    </w:p>
    <w:p>
      <w:pPr>
        <w:pStyle w:val="3"/>
        <w:rPr>
          <w:rFonts w:hint="default" w:ascii="宋体" w:hAnsi="宋体" w:eastAsia="宋体" w:cs="宋体"/>
          <w:color w:val="auto"/>
          <w:lang w:val="en-US" w:eastAsia="zh-CN"/>
        </w:rPr>
      </w:pPr>
      <w:r>
        <w:rPr>
          <w:rFonts w:hint="eastAsia" w:ascii="宋体" w:hAnsi="宋体" w:eastAsia="宋体" w:cs="宋体"/>
          <w:color w:val="auto"/>
          <w:lang w:val="en-US" w:eastAsia="zh-CN"/>
        </w:rPr>
        <w:t>其他技术要求</w:t>
      </w:r>
    </w:p>
    <w:p>
      <w:pPr>
        <w:pStyle w:val="24"/>
        <w:numPr>
          <w:ilvl w:val="0"/>
          <w:numId w:val="11"/>
        </w:numPr>
        <w:spacing w:line="360" w:lineRule="auto"/>
        <w:ind w:left="665" w:leftChars="0" w:hanging="425" w:firstLineChars="0"/>
        <w:rPr>
          <w:rFonts w:ascii="宋体" w:hAnsi="宋体" w:cs="宋体"/>
          <w:bCs/>
          <w:color w:val="auto"/>
          <w:sz w:val="24"/>
          <w:szCs w:val="24"/>
        </w:rPr>
      </w:pPr>
      <w:r>
        <w:rPr>
          <w:rFonts w:hint="eastAsia" w:ascii="宋体" w:hAnsi="宋体" w:cs="宋体"/>
          <w:bCs/>
          <w:color w:val="auto"/>
          <w:sz w:val="24"/>
          <w:szCs w:val="24"/>
        </w:rPr>
        <w:t>投标人提供的设备应符合国际及国内相关的技术标准和规范</w:t>
      </w:r>
      <w:r>
        <w:rPr>
          <w:rFonts w:hint="eastAsia" w:ascii="宋体" w:hAnsi="宋体" w:cs="宋体"/>
          <w:bCs/>
          <w:color w:val="auto"/>
          <w:sz w:val="24"/>
          <w:szCs w:val="24"/>
          <w:lang w:eastAsia="zh-CN"/>
        </w:rPr>
        <w:t>；</w:t>
      </w:r>
    </w:p>
    <w:p>
      <w:pPr>
        <w:pStyle w:val="24"/>
        <w:numPr>
          <w:ilvl w:val="0"/>
          <w:numId w:val="11"/>
        </w:numPr>
        <w:spacing w:line="360" w:lineRule="auto"/>
        <w:ind w:left="665" w:leftChars="0" w:hanging="425" w:firstLineChars="0"/>
        <w:rPr>
          <w:rFonts w:ascii="宋体" w:hAnsi="宋体" w:cs="宋体"/>
          <w:bCs/>
          <w:color w:val="auto"/>
          <w:sz w:val="24"/>
          <w:szCs w:val="24"/>
        </w:rPr>
      </w:pPr>
      <w:r>
        <w:rPr>
          <w:rFonts w:hint="eastAsia" w:ascii="宋体" w:hAnsi="宋体" w:cs="宋体"/>
          <w:bCs/>
          <w:color w:val="auto"/>
          <w:sz w:val="24"/>
          <w:szCs w:val="24"/>
        </w:rPr>
        <w:t>投标人提供的设备应具备高可用性、高可靠性和安全性，并兼顾技术的先进性和产品的成熟性</w:t>
      </w:r>
      <w:r>
        <w:rPr>
          <w:rFonts w:hint="eastAsia" w:ascii="宋体" w:hAnsi="宋体" w:cs="宋体"/>
          <w:bCs/>
          <w:color w:val="auto"/>
          <w:sz w:val="24"/>
          <w:szCs w:val="24"/>
          <w:lang w:eastAsia="zh-CN"/>
        </w:rPr>
        <w:t>；</w:t>
      </w:r>
    </w:p>
    <w:p>
      <w:pPr>
        <w:pStyle w:val="24"/>
        <w:numPr>
          <w:ilvl w:val="0"/>
          <w:numId w:val="11"/>
        </w:numPr>
        <w:spacing w:line="360" w:lineRule="auto"/>
        <w:ind w:left="665" w:leftChars="0" w:hanging="425" w:firstLineChars="0"/>
        <w:rPr>
          <w:rFonts w:ascii="宋体" w:hAnsi="宋体" w:cs="宋体"/>
          <w:bCs/>
          <w:color w:val="auto"/>
          <w:sz w:val="24"/>
          <w:szCs w:val="24"/>
        </w:rPr>
      </w:pPr>
      <w:r>
        <w:rPr>
          <w:rFonts w:hint="eastAsia" w:ascii="宋体" w:hAnsi="宋体" w:cs="宋体"/>
          <w:bCs/>
          <w:color w:val="auto"/>
          <w:sz w:val="24"/>
          <w:szCs w:val="24"/>
        </w:rPr>
        <w:t>投标人提供的设备应具备合法的知识产权</w:t>
      </w:r>
      <w:r>
        <w:rPr>
          <w:rFonts w:hint="eastAsia" w:ascii="宋体" w:hAnsi="宋体" w:cs="宋体"/>
          <w:bCs/>
          <w:color w:val="auto"/>
          <w:sz w:val="24"/>
          <w:szCs w:val="24"/>
          <w:lang w:eastAsia="zh-CN"/>
        </w:rPr>
        <w:t>；</w:t>
      </w:r>
    </w:p>
    <w:p>
      <w:pPr>
        <w:pStyle w:val="24"/>
        <w:numPr>
          <w:ilvl w:val="0"/>
          <w:numId w:val="11"/>
        </w:numPr>
        <w:spacing w:line="360" w:lineRule="auto"/>
        <w:ind w:left="665" w:leftChars="0" w:hanging="425" w:firstLineChars="0"/>
        <w:rPr>
          <w:rFonts w:ascii="宋体" w:hAnsi="宋体" w:cs="宋体"/>
          <w:bCs/>
          <w:color w:val="auto"/>
          <w:sz w:val="24"/>
          <w:szCs w:val="24"/>
        </w:rPr>
      </w:pPr>
      <w:r>
        <w:rPr>
          <w:rFonts w:hint="eastAsia" w:ascii="宋体" w:hAnsi="宋体" w:cs="宋体"/>
          <w:bCs/>
          <w:color w:val="auto"/>
          <w:sz w:val="24"/>
          <w:szCs w:val="24"/>
        </w:rPr>
        <w:t>投标人提供的产品在国内有完善的技术支持和售后服务体系</w:t>
      </w:r>
      <w:r>
        <w:rPr>
          <w:rFonts w:hint="eastAsia" w:ascii="宋体" w:hAnsi="宋体" w:cs="宋体"/>
          <w:bCs/>
          <w:color w:val="auto"/>
          <w:sz w:val="24"/>
          <w:szCs w:val="24"/>
          <w:lang w:eastAsia="zh-CN"/>
        </w:rPr>
        <w:t>；</w:t>
      </w:r>
    </w:p>
    <w:p>
      <w:pPr>
        <w:pStyle w:val="24"/>
        <w:numPr>
          <w:ilvl w:val="0"/>
          <w:numId w:val="11"/>
        </w:numPr>
        <w:spacing w:line="360" w:lineRule="auto"/>
        <w:ind w:left="665" w:leftChars="0" w:hanging="425" w:firstLineChars="0"/>
        <w:rPr>
          <w:rFonts w:ascii="宋体" w:hAnsi="宋体" w:cs="宋体"/>
          <w:bCs/>
          <w:color w:val="auto"/>
          <w:sz w:val="24"/>
          <w:szCs w:val="24"/>
        </w:rPr>
      </w:pPr>
      <w:r>
        <w:rPr>
          <w:rFonts w:hint="eastAsia" w:ascii="宋体" w:hAnsi="宋体" w:cs="宋体"/>
          <w:bCs/>
          <w:color w:val="auto"/>
          <w:sz w:val="24"/>
          <w:szCs w:val="24"/>
        </w:rPr>
        <w:t>投标人需对售后服务做出书面承诺</w:t>
      </w:r>
      <w:r>
        <w:rPr>
          <w:rFonts w:hint="eastAsia" w:ascii="宋体" w:hAnsi="宋体" w:cs="宋体"/>
          <w:bCs/>
          <w:color w:val="auto"/>
          <w:sz w:val="24"/>
          <w:szCs w:val="24"/>
          <w:lang w:eastAsia="zh-CN"/>
        </w:rPr>
        <w:t>；</w:t>
      </w:r>
      <w:r>
        <w:rPr>
          <w:rFonts w:hint="eastAsia" w:ascii="宋体" w:hAnsi="宋体" w:cs="宋体"/>
          <w:bCs/>
          <w:color w:val="auto"/>
          <w:sz w:val="24"/>
          <w:szCs w:val="24"/>
        </w:rPr>
        <w:t>（提供承诺函，格式自拟）</w:t>
      </w:r>
    </w:p>
    <w:p>
      <w:pPr>
        <w:pStyle w:val="24"/>
        <w:numPr>
          <w:ilvl w:val="0"/>
          <w:numId w:val="11"/>
        </w:numPr>
        <w:spacing w:line="360" w:lineRule="auto"/>
        <w:ind w:left="665" w:leftChars="0" w:hanging="425" w:firstLineChars="0"/>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▲投标人所投</w:t>
      </w:r>
      <w:r>
        <w:rPr>
          <w:rFonts w:hint="eastAsia" w:ascii="宋体" w:hAnsi="宋体" w:cs="宋体"/>
          <w:bCs/>
          <w:color w:val="auto"/>
          <w:sz w:val="24"/>
          <w:szCs w:val="24"/>
          <w:highlight w:val="none"/>
          <w:lang w:val="en-US" w:eastAsia="zh-CN"/>
        </w:rPr>
        <w:t>安检设备</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须</w:t>
      </w:r>
      <w:r>
        <w:rPr>
          <w:rFonts w:hint="eastAsia" w:ascii="宋体" w:hAnsi="宋体" w:cs="宋体"/>
          <w:bCs/>
          <w:color w:val="auto"/>
          <w:sz w:val="24"/>
          <w:szCs w:val="24"/>
          <w:highlight w:val="none"/>
          <w:lang w:eastAsia="zh-CN"/>
        </w:rPr>
        <w:t>可接入我院现有安防综合管理平台系统统一管理</w:t>
      </w:r>
      <w:r>
        <w:rPr>
          <w:rFonts w:hint="eastAsia" w:ascii="宋体" w:hAnsi="宋体" w:cs="宋体"/>
          <w:bCs/>
          <w:color w:val="auto"/>
          <w:sz w:val="24"/>
          <w:szCs w:val="24"/>
          <w:highlight w:val="none"/>
          <w:lang w:val="en-US" w:eastAsia="zh-CN"/>
        </w:rPr>
        <w:t>并对接上传报警信息、客流信息、视频图像等功能。</w:t>
      </w:r>
      <w:r>
        <w:rPr>
          <w:rFonts w:hint="eastAsia" w:ascii="宋体" w:hAnsi="宋体" w:cs="宋体"/>
          <w:bCs/>
          <w:color w:val="auto"/>
          <w:sz w:val="24"/>
          <w:szCs w:val="24"/>
          <w:highlight w:val="none"/>
          <w:lang w:eastAsia="zh-CN"/>
        </w:rPr>
        <w:t>需有广州售后人员。否则，由此引发的所有损失由中标人负责。（投标人提供承诺函）</w:t>
      </w:r>
    </w:p>
    <w:p>
      <w:pPr>
        <w:pStyle w:val="2"/>
        <w:spacing w:line="360" w:lineRule="auto"/>
        <w:rPr>
          <w:rFonts w:ascii="宋体" w:hAnsi="宋体" w:cs="宋体"/>
          <w:color w:val="auto"/>
        </w:rPr>
      </w:pPr>
      <w:r>
        <w:rPr>
          <w:rFonts w:hint="eastAsia" w:ascii="宋体" w:hAnsi="宋体" w:cs="宋体"/>
          <w:color w:val="auto"/>
          <w:lang w:val="en-US" w:eastAsia="zh-CN"/>
        </w:rPr>
        <w:t>响应</w:t>
      </w:r>
      <w:r>
        <w:rPr>
          <w:rFonts w:hint="eastAsia" w:ascii="宋体" w:hAnsi="宋体" w:cs="宋体"/>
          <w:color w:val="auto"/>
        </w:rPr>
        <w:t>要求</w:t>
      </w:r>
    </w:p>
    <w:p>
      <w:pPr>
        <w:pStyle w:val="24"/>
        <w:numPr>
          <w:ilvl w:val="0"/>
          <w:numId w:val="12"/>
        </w:numPr>
        <w:spacing w:line="360" w:lineRule="auto"/>
        <w:ind w:left="665" w:leftChars="0" w:hanging="425" w:firstLineChars="0"/>
        <w:rPr>
          <w:rFonts w:hint="default" w:ascii="宋体" w:hAnsi="宋体" w:cs="宋体"/>
          <w:bCs/>
          <w:color w:val="auto"/>
          <w:sz w:val="24"/>
          <w:szCs w:val="24"/>
          <w:lang w:val="en-US" w:eastAsia="zh-CN"/>
        </w:rPr>
      </w:pPr>
      <w:r>
        <w:rPr>
          <w:rFonts w:hint="eastAsia" w:ascii="宋体" w:hAnsi="宋体" w:cs="宋体"/>
          <w:bCs/>
          <w:color w:val="auto"/>
          <w:sz w:val="24"/>
          <w:szCs w:val="24"/>
          <w:lang w:val="en-US" w:eastAsia="zh-CN"/>
        </w:rPr>
        <w:t>投标人须对全部技术参数逐一回复响应情况；</w:t>
      </w:r>
    </w:p>
    <w:p>
      <w:pPr>
        <w:pStyle w:val="24"/>
        <w:numPr>
          <w:ilvl w:val="0"/>
          <w:numId w:val="12"/>
        </w:numPr>
        <w:spacing w:line="360" w:lineRule="auto"/>
        <w:ind w:left="665" w:leftChars="0" w:hanging="425" w:firstLineChars="0"/>
        <w:rPr>
          <w:rFonts w:hint="default" w:ascii="宋体" w:hAnsi="宋体" w:cs="宋体"/>
          <w:bCs/>
          <w:color w:val="auto"/>
          <w:sz w:val="24"/>
          <w:szCs w:val="24"/>
          <w:lang w:val="en-US" w:eastAsia="zh-CN"/>
        </w:rPr>
      </w:pPr>
      <w:r>
        <w:rPr>
          <w:rFonts w:hint="eastAsia" w:ascii="宋体" w:hAnsi="宋体" w:cs="宋体"/>
          <w:bCs/>
          <w:color w:val="auto"/>
          <w:sz w:val="24"/>
          <w:szCs w:val="24"/>
          <w:lang w:val="en-US" w:eastAsia="zh-CN"/>
        </w:rPr>
        <w:t>▲投标人在投标时，需提供所投设备原厂加盖公章的授权函。否则由此引发的所有损失由中标人负责；</w:t>
      </w:r>
    </w:p>
    <w:p>
      <w:pPr>
        <w:pStyle w:val="24"/>
        <w:numPr>
          <w:ilvl w:val="0"/>
          <w:numId w:val="12"/>
        </w:numPr>
        <w:spacing w:line="360" w:lineRule="auto"/>
        <w:ind w:left="665" w:leftChars="0" w:hanging="425" w:firstLineChars="0"/>
        <w:rPr>
          <w:rFonts w:hint="default" w:ascii="宋体" w:hAnsi="宋体" w:cs="宋体"/>
          <w:bCs/>
          <w:color w:val="auto"/>
          <w:sz w:val="24"/>
          <w:szCs w:val="24"/>
          <w:lang w:val="en-US" w:eastAsia="zh-CN"/>
        </w:rPr>
      </w:pPr>
      <w:r>
        <w:rPr>
          <w:rFonts w:hint="eastAsia" w:ascii="宋体" w:hAnsi="宋体" w:cs="宋体"/>
          <w:bCs/>
          <w:color w:val="auto"/>
          <w:sz w:val="24"/>
          <w:szCs w:val="24"/>
          <w:lang w:val="en-US" w:eastAsia="zh-CN"/>
        </w:rPr>
        <w:t>采购需求中标注“★”号条款为实质性条款，必须逐条进行响应，有任何一条负偏离的，应予否决投标。</w:t>
      </w:r>
    </w:p>
    <w:p>
      <w:pPr>
        <w:pStyle w:val="24"/>
        <w:numPr>
          <w:ilvl w:val="0"/>
          <w:numId w:val="12"/>
        </w:numPr>
        <w:spacing w:line="360" w:lineRule="auto"/>
        <w:ind w:left="665" w:leftChars="0" w:hanging="425" w:firstLineChars="0"/>
        <w:rPr>
          <w:rFonts w:hint="default" w:ascii="宋体" w:hAnsi="宋体" w:cs="宋体"/>
          <w:bCs/>
          <w:color w:val="auto"/>
          <w:sz w:val="24"/>
          <w:szCs w:val="24"/>
          <w:lang w:val="en-US" w:eastAsia="zh-CN"/>
        </w:rPr>
      </w:pPr>
      <w:r>
        <w:rPr>
          <w:rFonts w:hint="eastAsia" w:ascii="宋体" w:hAnsi="宋体" w:cs="宋体"/>
          <w:bCs/>
          <w:color w:val="auto"/>
          <w:sz w:val="24"/>
          <w:szCs w:val="24"/>
          <w:lang w:val="en-US" w:eastAsia="zh-CN"/>
        </w:rPr>
        <w:t>采购需求中标注“▲”号条款为重要技术参数（“▲”号为项目中标的主要依据之一，未能满足将会影响投标人的中标评分），但不作为否决投标条款；</w:t>
      </w:r>
    </w:p>
    <w:p>
      <w:pPr>
        <w:pStyle w:val="24"/>
        <w:numPr>
          <w:ilvl w:val="0"/>
          <w:numId w:val="12"/>
        </w:numPr>
        <w:spacing w:line="360" w:lineRule="auto"/>
        <w:ind w:left="665" w:leftChars="0" w:hanging="425" w:firstLineChars="0"/>
        <w:rPr>
          <w:rFonts w:hint="eastAsia" w:ascii="宋体" w:hAnsi="宋体" w:cs="宋体"/>
          <w:bCs/>
          <w:color w:val="auto"/>
          <w:sz w:val="24"/>
          <w:szCs w:val="24"/>
          <w:lang w:val="en-US" w:eastAsia="zh-CN"/>
        </w:rPr>
      </w:pPr>
      <w:r>
        <w:rPr>
          <w:rFonts w:hint="eastAsia" w:ascii="宋体" w:hAnsi="宋体" w:cs="宋体"/>
          <w:bCs/>
          <w:color w:val="auto"/>
          <w:sz w:val="24"/>
          <w:szCs w:val="24"/>
          <w:lang w:val="en-US" w:eastAsia="zh-CN"/>
        </w:rPr>
        <w:t>▲投标人在投标时提供产品彩页证明，招标人将对到货产品进行现场核验，如发现实际参数与投标参数不一致时，将视为投标人存在弄虚作假行为，取消中标资格并承担相应经济损失；</w:t>
      </w:r>
    </w:p>
    <w:p>
      <w:pPr>
        <w:pStyle w:val="24"/>
        <w:numPr>
          <w:ilvl w:val="0"/>
          <w:numId w:val="12"/>
        </w:numPr>
        <w:spacing w:line="360" w:lineRule="auto"/>
        <w:ind w:left="665" w:leftChars="0" w:hanging="425" w:firstLineChars="0"/>
        <w:rPr>
          <w:rFonts w:hint="default" w:ascii="宋体" w:hAnsi="宋体" w:cs="宋体"/>
          <w:bCs/>
          <w:color w:val="auto"/>
          <w:sz w:val="24"/>
          <w:szCs w:val="24"/>
          <w:lang w:val="en-US" w:eastAsia="zh-CN"/>
        </w:rPr>
      </w:pPr>
      <w:r>
        <w:rPr>
          <w:rFonts w:hint="eastAsia" w:ascii="宋体" w:hAnsi="宋体" w:cs="宋体"/>
          <w:bCs/>
          <w:color w:val="auto"/>
          <w:sz w:val="24"/>
          <w:szCs w:val="24"/>
          <w:lang w:val="en-US" w:eastAsia="zh-CN"/>
        </w:rPr>
        <w:t>投标人在投标时提供产品样册证明，招标人将对到货产品进行现场核验，如发现实际参数与投标参数不一致时，将视为投标人存在弄虚作假行为，取消中标资格。</w:t>
      </w:r>
    </w:p>
    <w:p>
      <w:pPr>
        <w:pStyle w:val="24"/>
        <w:spacing w:line="360" w:lineRule="auto"/>
        <w:ind w:firstLine="566" w:firstLineChars="236"/>
        <w:rPr>
          <w:rFonts w:hint="eastAsia" w:ascii="宋体" w:hAnsi="宋体" w:cs="宋体"/>
          <w:bCs/>
          <w:color w:val="auto"/>
          <w:sz w:val="24"/>
          <w:szCs w:val="24"/>
        </w:rPr>
      </w:pPr>
    </w:p>
    <w:p>
      <w:pPr>
        <w:pStyle w:val="2"/>
        <w:spacing w:line="360" w:lineRule="auto"/>
        <w:rPr>
          <w:rFonts w:ascii="宋体" w:hAnsi="宋体" w:cs="宋体"/>
          <w:color w:val="auto"/>
        </w:rPr>
      </w:pPr>
      <w:r>
        <w:rPr>
          <w:rFonts w:hint="eastAsia" w:ascii="宋体" w:hAnsi="宋体" w:cs="宋体"/>
          <w:color w:val="auto"/>
        </w:rPr>
        <w:t>商务要求：</w:t>
      </w:r>
    </w:p>
    <w:p>
      <w:pPr>
        <w:pStyle w:val="3"/>
        <w:spacing w:line="360" w:lineRule="auto"/>
        <w:rPr>
          <w:rFonts w:ascii="宋体" w:hAnsi="宋体" w:eastAsia="宋体" w:cs="宋体"/>
          <w:color w:val="auto"/>
        </w:rPr>
      </w:pPr>
      <w:r>
        <w:rPr>
          <w:rFonts w:hint="eastAsia" w:ascii="宋体" w:hAnsi="宋体" w:eastAsia="宋体" w:cs="宋体"/>
          <w:color w:val="auto"/>
        </w:rPr>
        <w:t>安装调试</w:t>
      </w:r>
    </w:p>
    <w:p>
      <w:pPr>
        <w:tabs>
          <w:tab w:val="left" w:pos="2340"/>
        </w:tabs>
        <w:autoSpaceDE/>
        <w:autoSpaceDN/>
        <w:snapToGrid w:val="0"/>
        <w:ind w:firstLine="480" w:firstLineChars="200"/>
        <w:jc w:val="both"/>
        <w:rPr>
          <w:rFonts w:ascii="宋体" w:hAnsi="宋体" w:cs="宋体"/>
          <w:color w:val="auto"/>
          <w:szCs w:val="24"/>
        </w:rPr>
      </w:pPr>
      <w:r>
        <w:rPr>
          <w:rFonts w:hint="eastAsia" w:ascii="宋体" w:hAnsi="宋体" w:cs="宋体"/>
          <w:color w:val="auto"/>
          <w:szCs w:val="24"/>
        </w:rPr>
        <w:t>1.中标人负责合同下所有设备的安装调试工作，安装调试中所涉费用由中标人自行承担。在安装调试期间所发生的中标人人员的交通费、食宿费用等由中标人自行承担。</w:t>
      </w:r>
    </w:p>
    <w:p>
      <w:pPr>
        <w:tabs>
          <w:tab w:val="left" w:pos="2340"/>
        </w:tabs>
        <w:autoSpaceDE/>
        <w:autoSpaceDN/>
        <w:snapToGrid w:val="0"/>
        <w:ind w:firstLine="480" w:firstLineChars="200"/>
        <w:jc w:val="both"/>
        <w:rPr>
          <w:rFonts w:ascii="宋体" w:hAnsi="宋体" w:cs="宋体"/>
          <w:color w:val="auto"/>
          <w:szCs w:val="24"/>
        </w:rPr>
      </w:pPr>
      <w:r>
        <w:rPr>
          <w:rFonts w:hint="eastAsia" w:ascii="宋体" w:hAnsi="宋体" w:cs="宋体"/>
          <w:color w:val="auto"/>
          <w:szCs w:val="24"/>
        </w:rPr>
        <w:t>2.中标人应派足够、技术熟练且具备相应资质的技术人员到现场进行设备安装调试工作。现场工作期间，中标人应对安装现场的其他设备、设施有良好保护措施，如因中标人原因造成招标人安装场地或安装场地内其他设备、设施损坏的，中标人承担全部赔偿责任。</w:t>
      </w:r>
    </w:p>
    <w:p>
      <w:pPr>
        <w:tabs>
          <w:tab w:val="left" w:pos="2340"/>
        </w:tabs>
        <w:autoSpaceDE/>
        <w:autoSpaceDN/>
        <w:snapToGrid w:val="0"/>
        <w:ind w:firstLine="480" w:firstLineChars="200"/>
        <w:jc w:val="both"/>
        <w:rPr>
          <w:rFonts w:ascii="宋体" w:hAnsi="宋体" w:cs="宋体"/>
          <w:color w:val="auto"/>
          <w:szCs w:val="24"/>
        </w:rPr>
      </w:pPr>
      <w:r>
        <w:rPr>
          <w:rFonts w:hint="eastAsia" w:ascii="宋体" w:hAnsi="宋体" w:cs="宋体"/>
          <w:color w:val="auto"/>
          <w:szCs w:val="24"/>
        </w:rPr>
        <w:t>3.中标人需在合同设备送达招标人指定地点并完成安装调试后为招标人的相关操作人员提供设备操作、维护培训，以确保招标人相关操作人员能够正确、熟练掌握产品的设备操作方法、日常维护知识及简单的故障排除。培训的主要内容为设备的基本结构、性能、主要部件的构造及修理、日常使用保养与管理、常见故障的排除、紧急情况的处理等，培训地点主要在设备安装现场或由招标人安排。在培训期间所发生的中标人人员的交通费、食宿费用、培训及其他相关费用等已包含在合同设备总价内。</w:t>
      </w:r>
    </w:p>
    <w:p>
      <w:pPr>
        <w:pStyle w:val="3"/>
        <w:spacing w:line="360" w:lineRule="auto"/>
        <w:rPr>
          <w:rFonts w:ascii="宋体" w:hAnsi="宋体" w:eastAsia="宋体" w:cs="宋体"/>
          <w:color w:val="auto"/>
        </w:rPr>
      </w:pPr>
      <w:r>
        <w:rPr>
          <w:rFonts w:hint="eastAsia" w:ascii="宋体" w:hAnsi="宋体" w:eastAsia="宋体" w:cs="宋体"/>
          <w:color w:val="auto"/>
        </w:rPr>
        <w:t>项目交付的时间和地点</w:t>
      </w:r>
    </w:p>
    <w:p>
      <w:pPr>
        <w:numPr>
          <w:ilvl w:val="0"/>
          <w:numId w:val="13"/>
        </w:numPr>
        <w:tabs>
          <w:tab w:val="left" w:pos="2340"/>
        </w:tabs>
        <w:autoSpaceDE/>
        <w:autoSpaceDN/>
        <w:snapToGrid w:val="0"/>
        <w:jc w:val="both"/>
        <w:rPr>
          <w:rFonts w:ascii="宋体" w:hAnsi="宋体" w:cs="宋体"/>
          <w:color w:val="auto"/>
          <w:szCs w:val="24"/>
        </w:rPr>
      </w:pPr>
      <w:r>
        <w:rPr>
          <w:rFonts w:hint="eastAsia" w:ascii="宋体" w:hAnsi="宋体" w:cs="宋体"/>
          <w:color w:val="auto"/>
        </w:rPr>
        <w:t>交付的时间：</w:t>
      </w:r>
      <w:r>
        <w:rPr>
          <w:rFonts w:hint="eastAsia" w:ascii="宋体" w:hAnsi="宋体" w:cs="宋体"/>
          <w:color w:val="auto"/>
          <w:kern w:val="2"/>
          <w:szCs w:val="24"/>
          <w:u w:val="single"/>
        </w:rPr>
        <w:t>自合同签订之日起30日历天内</w:t>
      </w:r>
      <w:r>
        <w:rPr>
          <w:rFonts w:hint="eastAsia" w:ascii="宋体" w:hAnsi="宋体" w:cs="宋体"/>
          <w:color w:val="auto"/>
        </w:rPr>
        <w:t>。</w:t>
      </w:r>
    </w:p>
    <w:p>
      <w:pPr>
        <w:numPr>
          <w:ilvl w:val="0"/>
          <w:numId w:val="13"/>
        </w:numPr>
        <w:tabs>
          <w:tab w:val="left" w:pos="2340"/>
        </w:tabs>
        <w:autoSpaceDE/>
        <w:autoSpaceDN/>
        <w:snapToGrid w:val="0"/>
        <w:jc w:val="both"/>
        <w:rPr>
          <w:rFonts w:ascii="宋体" w:hAnsi="宋体" w:cs="宋体"/>
          <w:color w:val="auto"/>
          <w:szCs w:val="24"/>
        </w:rPr>
      </w:pPr>
      <w:r>
        <w:rPr>
          <w:rFonts w:hint="eastAsia" w:ascii="宋体" w:hAnsi="宋体" w:cs="宋体"/>
          <w:color w:val="auto"/>
        </w:rPr>
        <w:t>交付的地点：</w:t>
      </w:r>
      <w:r>
        <w:rPr>
          <w:rFonts w:hint="eastAsia" w:ascii="宋体" w:hAnsi="宋体" w:cs="宋体"/>
          <w:color w:val="auto"/>
          <w:u w:val="single"/>
        </w:rPr>
        <w:t>广东省广州市黄埔区长贤路55号广州医科大学附属第三医院黄埔</w:t>
      </w:r>
      <w:r>
        <w:rPr>
          <w:rFonts w:hint="eastAsia" w:ascii="宋体" w:hAnsi="宋体" w:cs="宋体"/>
          <w:color w:val="auto"/>
          <w:u w:val="single"/>
          <w:lang w:val="en-US" w:eastAsia="zh-CN"/>
        </w:rPr>
        <w:t>院区</w:t>
      </w:r>
      <w:r>
        <w:rPr>
          <w:rFonts w:hint="eastAsia" w:ascii="宋体" w:hAnsi="宋体" w:cs="宋体"/>
          <w:color w:val="auto"/>
          <w:szCs w:val="24"/>
        </w:rPr>
        <w:t>。</w:t>
      </w:r>
    </w:p>
    <w:p>
      <w:pPr>
        <w:pStyle w:val="3"/>
        <w:spacing w:line="360" w:lineRule="auto"/>
        <w:rPr>
          <w:rFonts w:ascii="宋体" w:hAnsi="宋体" w:eastAsia="宋体" w:cs="宋体"/>
          <w:color w:val="auto"/>
        </w:rPr>
      </w:pPr>
      <w:r>
        <w:rPr>
          <w:rFonts w:hint="eastAsia" w:ascii="宋体" w:hAnsi="宋体" w:eastAsia="宋体" w:cs="宋体"/>
          <w:color w:val="auto"/>
        </w:rPr>
        <w:t>售后服务</w:t>
      </w:r>
    </w:p>
    <w:p>
      <w:pPr>
        <w:numPr>
          <w:ilvl w:val="0"/>
          <w:numId w:val="14"/>
        </w:numPr>
        <w:tabs>
          <w:tab w:val="left" w:pos="2340"/>
        </w:tabs>
        <w:autoSpaceDE/>
        <w:autoSpaceDN/>
        <w:snapToGrid w:val="0"/>
        <w:jc w:val="both"/>
        <w:rPr>
          <w:rFonts w:ascii="宋体" w:hAnsi="宋体" w:cs="宋体"/>
          <w:color w:val="auto"/>
          <w:szCs w:val="24"/>
        </w:rPr>
      </w:pPr>
      <w:r>
        <w:rPr>
          <w:rFonts w:hint="eastAsia" w:ascii="宋体" w:hAnsi="宋体" w:cs="宋体"/>
          <w:color w:val="auto"/>
        </w:rPr>
        <w:t>★保修期：安装服务与整机质保</w:t>
      </w:r>
      <w:r>
        <w:rPr>
          <w:rFonts w:hint="eastAsia" w:ascii="宋体" w:hAnsi="宋体" w:cs="宋体"/>
          <w:color w:val="auto"/>
          <w:lang w:val="en-US" w:eastAsia="zh-CN"/>
        </w:rPr>
        <w:t>≥3</w:t>
      </w:r>
      <w:r>
        <w:rPr>
          <w:rFonts w:hint="eastAsia" w:ascii="宋体" w:hAnsi="宋体" w:cs="宋体"/>
          <w:color w:val="auto"/>
        </w:rPr>
        <w:t>年</w:t>
      </w:r>
      <w:r>
        <w:rPr>
          <w:rFonts w:hint="eastAsia" w:ascii="宋体" w:hAnsi="宋体" w:cs="宋体"/>
          <w:bCs/>
          <w:color w:val="auto"/>
          <w:sz w:val="24"/>
          <w:szCs w:val="24"/>
          <w:lang w:eastAsia="zh-CN"/>
        </w:rPr>
        <w:t>，</w:t>
      </w:r>
      <w:r>
        <w:rPr>
          <w:rFonts w:hint="eastAsia" w:ascii="宋体" w:hAnsi="宋体" w:cs="宋体"/>
          <w:bCs/>
          <w:color w:val="auto"/>
          <w:sz w:val="24"/>
          <w:szCs w:val="24"/>
          <w:lang w:val="en-US" w:eastAsia="zh-CN"/>
        </w:rPr>
        <w:t>提供承诺函（格式自拟）</w:t>
      </w:r>
      <w:r>
        <w:rPr>
          <w:rFonts w:hint="eastAsia" w:ascii="宋体" w:hAnsi="宋体" w:cs="宋体"/>
          <w:color w:val="auto"/>
        </w:rPr>
        <w:t>。</w:t>
      </w:r>
    </w:p>
    <w:p>
      <w:pPr>
        <w:numPr>
          <w:ilvl w:val="0"/>
          <w:numId w:val="14"/>
        </w:numPr>
        <w:snapToGrid w:val="0"/>
        <w:jc w:val="both"/>
        <w:rPr>
          <w:rFonts w:ascii="宋体" w:hAnsi="宋体" w:cs="宋体"/>
          <w:color w:val="auto"/>
        </w:rPr>
      </w:pPr>
      <w:r>
        <w:rPr>
          <w:rFonts w:hint="eastAsia" w:ascii="宋体" w:hAnsi="宋体" w:cs="宋体"/>
          <w:color w:val="auto"/>
        </w:rPr>
        <w:t>售后服务要求：质保期内，接到采购人维修通知后，供应商或厂家需要在2小时内到达现场，8小时内排除故障，如需更换配件的需要在2天内解决</w:t>
      </w:r>
      <w:r>
        <w:rPr>
          <w:rFonts w:hint="eastAsia" w:ascii="宋体" w:hAnsi="宋体" w:cs="宋体"/>
          <w:color w:val="auto"/>
          <w:szCs w:val="24"/>
        </w:rPr>
        <w:t>。</w:t>
      </w:r>
    </w:p>
    <w:p>
      <w:pPr>
        <w:pStyle w:val="3"/>
        <w:spacing w:line="360" w:lineRule="auto"/>
        <w:rPr>
          <w:rFonts w:ascii="宋体" w:hAnsi="宋体" w:eastAsia="宋体" w:cs="宋体"/>
          <w:color w:val="auto"/>
        </w:rPr>
      </w:pPr>
      <w:r>
        <w:rPr>
          <w:rFonts w:hint="eastAsia" w:ascii="宋体" w:hAnsi="宋体" w:eastAsia="宋体" w:cs="宋体"/>
          <w:color w:val="auto"/>
        </w:rPr>
        <w:t>实物验收</w:t>
      </w:r>
    </w:p>
    <w:p>
      <w:pPr>
        <w:tabs>
          <w:tab w:val="left" w:pos="360"/>
        </w:tabs>
        <w:autoSpaceDE/>
        <w:autoSpaceDN/>
        <w:snapToGrid w:val="0"/>
        <w:ind w:firstLine="480" w:firstLineChars="200"/>
        <w:jc w:val="both"/>
        <w:rPr>
          <w:rFonts w:ascii="宋体" w:hAnsi="宋体" w:cs="宋体"/>
          <w:bCs/>
          <w:color w:val="auto"/>
          <w:szCs w:val="24"/>
        </w:rPr>
      </w:pPr>
      <w:r>
        <w:rPr>
          <w:rFonts w:hint="eastAsia" w:ascii="宋体" w:hAnsi="宋体" w:cs="宋体"/>
          <w:bCs/>
          <w:color w:val="auto"/>
          <w:szCs w:val="24"/>
        </w:rPr>
        <w:t>一）本验收由实物验收和调试验收两部分组成。</w:t>
      </w:r>
    </w:p>
    <w:p>
      <w:pPr>
        <w:tabs>
          <w:tab w:val="left" w:pos="360"/>
        </w:tabs>
        <w:autoSpaceDE/>
        <w:autoSpaceDN/>
        <w:snapToGrid w:val="0"/>
        <w:ind w:firstLine="480" w:firstLineChars="200"/>
        <w:jc w:val="both"/>
        <w:rPr>
          <w:rFonts w:ascii="宋体" w:hAnsi="宋体" w:cs="宋体"/>
          <w:bCs/>
          <w:color w:val="auto"/>
          <w:szCs w:val="24"/>
        </w:rPr>
      </w:pPr>
      <w:r>
        <w:rPr>
          <w:rFonts w:hint="eastAsia" w:ascii="宋体" w:hAnsi="宋体" w:cs="宋体"/>
          <w:bCs/>
          <w:color w:val="auto"/>
          <w:szCs w:val="24"/>
        </w:rPr>
        <w:t>二）实物验收</w:t>
      </w:r>
    </w:p>
    <w:p>
      <w:pPr>
        <w:tabs>
          <w:tab w:val="left" w:pos="360"/>
        </w:tabs>
        <w:autoSpaceDE/>
        <w:autoSpaceDN/>
        <w:snapToGrid w:val="0"/>
        <w:ind w:firstLine="480" w:firstLineChars="200"/>
        <w:jc w:val="both"/>
        <w:rPr>
          <w:rFonts w:ascii="宋体" w:hAnsi="宋体" w:cs="宋体"/>
          <w:bCs/>
          <w:color w:val="auto"/>
          <w:szCs w:val="24"/>
        </w:rPr>
      </w:pPr>
      <w:r>
        <w:rPr>
          <w:rFonts w:hint="eastAsia" w:ascii="宋体" w:hAnsi="宋体" w:cs="宋体"/>
          <w:bCs/>
          <w:color w:val="auto"/>
          <w:szCs w:val="24"/>
        </w:rPr>
        <w:t>1.中标人应在合同签订之日起15天内将合同设备送达招标人指定地点，招标人应及时组织相关人员进行设备实物的验收。</w:t>
      </w:r>
    </w:p>
    <w:p>
      <w:pPr>
        <w:tabs>
          <w:tab w:val="left" w:pos="360"/>
        </w:tabs>
        <w:autoSpaceDE/>
        <w:autoSpaceDN/>
        <w:snapToGrid w:val="0"/>
        <w:ind w:firstLine="480" w:firstLineChars="200"/>
        <w:jc w:val="both"/>
        <w:rPr>
          <w:rFonts w:ascii="宋体" w:hAnsi="宋体" w:cs="宋体"/>
          <w:bCs/>
          <w:color w:val="auto"/>
          <w:szCs w:val="24"/>
        </w:rPr>
      </w:pPr>
      <w:r>
        <w:rPr>
          <w:rFonts w:hint="eastAsia" w:ascii="宋体" w:hAnsi="宋体" w:cs="宋体"/>
          <w:bCs/>
          <w:color w:val="auto"/>
          <w:szCs w:val="24"/>
        </w:rPr>
        <w:t>2.中标人应保证所提供设备的包装是原厂包装并确保包装完整。中标人所提供设备包装或防护不良的，招标人有权拒收并要求中标人需在3个工作日内予以更换；若中标人未能在3个工作日内更换符合包装及防护要求的设备，将视同中标人无法履行合同约定，招标人有权解除合同、要求中标人于7天内退还招标人已支付的合同下相应设备的款项并要求中标人承担由此给招标人造成的一切损失，同时招标人有权向中标人收取合同总价的5%作为违约金。</w:t>
      </w:r>
    </w:p>
    <w:p>
      <w:pPr>
        <w:tabs>
          <w:tab w:val="left" w:pos="360"/>
        </w:tabs>
        <w:autoSpaceDE/>
        <w:autoSpaceDN/>
        <w:snapToGrid w:val="0"/>
        <w:ind w:firstLine="480" w:firstLineChars="200"/>
        <w:jc w:val="both"/>
        <w:rPr>
          <w:rFonts w:ascii="宋体" w:hAnsi="宋体" w:cs="宋体"/>
          <w:bCs/>
          <w:szCs w:val="24"/>
        </w:rPr>
      </w:pPr>
      <w:r>
        <w:rPr>
          <w:rFonts w:hint="eastAsia" w:ascii="宋体" w:hAnsi="宋体" w:cs="宋体"/>
          <w:bCs/>
          <w:color w:val="auto"/>
          <w:szCs w:val="24"/>
        </w:rPr>
        <w:t>3.设备到达招标人指定地点后，双方应共同就设备的数量、规格型号等是否与合同约定相符进行验收，货物须为原厂商(制造商)未启封的全新包装，具有出厂合格证，序列号、包装箱号，并与出厂批号一致，且可追索查阅。所有随设备的附件必须齐全。中</w:t>
      </w:r>
      <w:r>
        <w:rPr>
          <w:rFonts w:hint="eastAsia" w:ascii="宋体" w:hAnsi="宋体" w:cs="宋体"/>
          <w:bCs/>
          <w:szCs w:val="24"/>
        </w:rPr>
        <w:t>标人应将关键主机设备的用户手册、保修手册、相关资料及配备件、随机工具等交付给招标人，且使用操作及安全须知等重要资料应附有中文说明,并由双方签章确认后实物验收完成。若中标人所提供的设备不符合合同的约定，招标人有权拒收并要求中标人需在3个工作日内予以更换；若中标人未能在3个工作日内更换符合合同约定的设备，将视同中标人无法履行合同约定，招标人有权解除合同、要求中标人于7天内退还招标人已支付的合同下相应设备的款项并要求中标人承担由此给招标人造成的一切损失，同时招标人有权向中标人收取合同总价的5%作为违约金。</w:t>
      </w:r>
    </w:p>
    <w:p>
      <w:pPr>
        <w:tabs>
          <w:tab w:val="left" w:pos="360"/>
        </w:tabs>
        <w:autoSpaceDE/>
        <w:autoSpaceDN/>
        <w:snapToGrid w:val="0"/>
        <w:ind w:firstLine="480" w:firstLineChars="200"/>
        <w:jc w:val="both"/>
        <w:rPr>
          <w:rFonts w:ascii="宋体" w:hAnsi="宋体" w:cs="宋体"/>
          <w:bCs/>
          <w:szCs w:val="24"/>
        </w:rPr>
      </w:pPr>
      <w:r>
        <w:rPr>
          <w:rFonts w:hint="eastAsia" w:ascii="宋体" w:hAnsi="宋体" w:cs="宋体"/>
          <w:bCs/>
          <w:szCs w:val="24"/>
        </w:rPr>
        <w:t>三）调试验收</w:t>
      </w:r>
    </w:p>
    <w:p>
      <w:pPr>
        <w:tabs>
          <w:tab w:val="left" w:pos="360"/>
        </w:tabs>
        <w:autoSpaceDE/>
        <w:autoSpaceDN/>
        <w:snapToGrid w:val="0"/>
        <w:ind w:firstLine="480" w:firstLineChars="200"/>
        <w:jc w:val="both"/>
        <w:rPr>
          <w:rFonts w:ascii="宋体" w:hAnsi="宋体" w:cs="宋体"/>
        </w:rPr>
      </w:pPr>
      <w:r>
        <w:rPr>
          <w:rFonts w:hint="eastAsia" w:ascii="宋体" w:hAnsi="宋体" w:cs="宋体"/>
          <w:bCs/>
          <w:szCs w:val="24"/>
        </w:rPr>
        <w:t>1.中标人应保证在合同签订后30天内设备全部安装完毕，并自行将设备调试至正常运行的最佳状态。</w:t>
      </w:r>
    </w:p>
    <w:p>
      <w:pPr>
        <w:autoSpaceDE/>
        <w:autoSpaceDN/>
        <w:snapToGrid w:val="0"/>
        <w:ind w:firstLine="480" w:firstLineChars="200"/>
        <w:jc w:val="both"/>
        <w:rPr>
          <w:rFonts w:ascii="宋体" w:hAnsi="宋体" w:cs="宋体"/>
          <w:bCs/>
          <w:color w:val="auto"/>
          <w:szCs w:val="24"/>
        </w:rPr>
      </w:pPr>
      <w:r>
        <w:rPr>
          <w:rFonts w:hint="eastAsia" w:ascii="宋体" w:hAnsi="宋体" w:cs="宋体"/>
          <w:bCs/>
          <w:szCs w:val="24"/>
        </w:rPr>
        <w:t>2.设备安装调试完成后7天内进行调试验收。中标人应在设备安装调试完成并对招标人相关操作人员进行设备操作、维护培训以使其能正常操作设备后及时通知招标人进行调试验收，调试验收由双方相关人员共同参加，中标人应保证合同下全部设备经安装调试后符合国家规定的相关质量标准、符合厂家的出厂标准、达到采购/招投标文件所述特殊要求同时符合</w:t>
      </w:r>
      <w:r>
        <w:rPr>
          <w:rFonts w:hint="eastAsia" w:ascii="宋体" w:hAnsi="宋体" w:cs="宋体"/>
          <w:bCs/>
          <w:color w:val="auto"/>
          <w:szCs w:val="24"/>
        </w:rPr>
        <w:t>双方约定的标准（如有），并能正常、无妨碍地使用，调试验收合格后由双方签章确认。</w:t>
      </w:r>
    </w:p>
    <w:p>
      <w:pPr>
        <w:pStyle w:val="14"/>
        <w:ind w:firstLine="480" w:firstLineChars="200"/>
        <w:rPr>
          <w:rFonts w:ascii="宋体" w:hAnsi="宋体" w:cs="宋体"/>
          <w:color w:val="auto"/>
          <w:sz w:val="24"/>
        </w:rPr>
      </w:pPr>
      <w:r>
        <w:rPr>
          <w:rFonts w:hint="eastAsia" w:ascii="宋体" w:hAnsi="宋体" w:cs="宋体"/>
          <w:bCs/>
          <w:color w:val="auto"/>
          <w:sz w:val="24"/>
          <w:szCs w:val="24"/>
        </w:rPr>
        <w:t>3.</w:t>
      </w:r>
      <w:r>
        <w:rPr>
          <w:rFonts w:hint="eastAsia" w:ascii="宋体" w:hAnsi="宋体" w:cs="宋体"/>
          <w:color w:val="auto"/>
          <w:sz w:val="24"/>
        </w:rPr>
        <w:t>项目验收标准：</w:t>
      </w:r>
    </w:p>
    <w:p>
      <w:pPr>
        <w:ind w:firstLine="480" w:firstLineChars="200"/>
        <w:rPr>
          <w:rFonts w:ascii="宋体" w:hAnsi="宋体" w:cs="宋体"/>
          <w:color w:val="auto"/>
        </w:rPr>
      </w:pPr>
      <w:r>
        <w:rPr>
          <w:rFonts w:hint="eastAsia" w:ascii="宋体" w:hAnsi="宋体" w:cs="宋体"/>
          <w:color w:val="auto"/>
        </w:rPr>
        <w:t>（1）初验：设备上线后进行初验，由采购单位组织验收，初验标准为各种设备能正常运行。</w:t>
      </w:r>
    </w:p>
    <w:p>
      <w:pPr>
        <w:ind w:firstLine="480" w:firstLineChars="200"/>
        <w:rPr>
          <w:rFonts w:ascii="宋体" w:hAnsi="宋体" w:cs="宋体"/>
          <w:color w:val="auto"/>
        </w:rPr>
      </w:pPr>
      <w:r>
        <w:rPr>
          <w:rFonts w:hint="eastAsia" w:ascii="宋体" w:hAnsi="宋体" w:cs="宋体"/>
          <w:color w:val="auto"/>
        </w:rPr>
        <w:t>（2）终验：1个月试运行后,各种设备运转正常且无质量问题，为验收合格，若不合格，供应商负责维修或更换，并在达到验收条件时，再次向采购人提出验收书面申请。</w:t>
      </w:r>
    </w:p>
    <w:p>
      <w:pPr>
        <w:pStyle w:val="14"/>
        <w:rPr>
          <w:rFonts w:ascii="宋体" w:hAnsi="宋体" w:cs="宋体"/>
        </w:rPr>
      </w:pPr>
    </w:p>
    <w:sectPr>
      <w:pgSz w:w="11906" w:h="16838"/>
      <w:pgMar w:top="1134" w:right="1134" w:bottom="1134"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7604719"/>
    </w:sdtPr>
    <w:sdtContent>
      <w:p>
        <w:pPr>
          <w:pStyle w:val="14"/>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1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top w:val="none" w:color="auto" w:sz="0" w:space="0"/>
        <w:left w:val="none" w:color="auto" w:sz="0" w:space="0"/>
        <w:bottom w:val="none" w:color="auto" w:sz="0" w:space="0"/>
        <w:right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A6DF4A"/>
    <w:multiLevelType w:val="multilevel"/>
    <w:tmpl w:val="95A6DF4A"/>
    <w:lvl w:ilvl="0" w:tentative="0">
      <w:start w:val="1"/>
      <w:numFmt w:val="chineseCounting"/>
      <w:pStyle w:val="2"/>
      <w:suff w:val="nothing"/>
      <w:lvlText w:val="%1、"/>
      <w:lvlJc w:val="left"/>
      <w:pPr>
        <w:ind w:left="0" w:firstLine="0"/>
      </w:pPr>
      <w:rPr>
        <w:rFonts w:hint="eastAsia"/>
      </w:rPr>
    </w:lvl>
    <w:lvl w:ilvl="1" w:tentative="0">
      <w:start w:val="1"/>
      <w:numFmt w:val="chineseCounting"/>
      <w:pStyle w:val="3"/>
      <w:suff w:val="nothing"/>
      <w:lvlText w:val="（%2）"/>
      <w:lvlJc w:val="left"/>
      <w:pPr>
        <w:ind w:left="0" w:firstLine="0"/>
      </w:pPr>
      <w:rPr>
        <w:rFonts w:hint="eastAsia"/>
      </w:rPr>
    </w:lvl>
    <w:lvl w:ilvl="2" w:tentative="0">
      <w:start w:val="1"/>
      <w:numFmt w:val="decimal"/>
      <w:pStyle w:val="5"/>
      <w:suff w:val="nothing"/>
      <w:lvlText w:val="%3．"/>
      <w:lvlJc w:val="left"/>
      <w:pPr>
        <w:ind w:left="0" w:firstLine="400"/>
      </w:pPr>
      <w:rPr>
        <w:rFonts w:hint="eastAsia"/>
      </w:rPr>
    </w:lvl>
    <w:lvl w:ilvl="3" w:tentative="0">
      <w:start w:val="1"/>
      <w:numFmt w:val="decimal"/>
      <w:pStyle w:val="6"/>
      <w:suff w:val="nothing"/>
      <w:lvlText w:val="（%4）"/>
      <w:lvlJc w:val="left"/>
      <w:pPr>
        <w:ind w:left="798" w:firstLine="402"/>
      </w:pPr>
      <w:rPr>
        <w:rFonts w:hint="eastAsia"/>
      </w:rPr>
    </w:lvl>
    <w:lvl w:ilvl="4" w:tentative="0">
      <w:start w:val="1"/>
      <w:numFmt w:val="decimalEnclosedCircleChinese"/>
      <w:pStyle w:val="7"/>
      <w:suff w:val="nothing"/>
      <w:lvlText w:val="%5"/>
      <w:lvlJc w:val="left"/>
      <w:pPr>
        <w:ind w:left="0" w:firstLine="402"/>
      </w:pPr>
      <w:rPr>
        <w:rFonts w:hint="eastAsia"/>
      </w:rPr>
    </w:lvl>
    <w:lvl w:ilvl="5" w:tentative="0">
      <w:start w:val="1"/>
      <w:numFmt w:val="decimal"/>
      <w:pStyle w:val="8"/>
      <w:suff w:val="nothing"/>
      <w:lvlText w:val="%6）"/>
      <w:lvlJc w:val="left"/>
      <w:pPr>
        <w:ind w:left="0" w:firstLine="402"/>
      </w:pPr>
      <w:rPr>
        <w:rFonts w:hint="eastAsia"/>
      </w:rPr>
    </w:lvl>
    <w:lvl w:ilvl="6" w:tentative="0">
      <w:start w:val="1"/>
      <w:numFmt w:val="lowerLetter"/>
      <w:pStyle w:val="9"/>
      <w:suff w:val="nothing"/>
      <w:lvlText w:val="%7．"/>
      <w:lvlJc w:val="left"/>
      <w:pPr>
        <w:ind w:left="0" w:firstLine="402"/>
      </w:pPr>
      <w:rPr>
        <w:rFonts w:hint="eastAsia"/>
      </w:rPr>
    </w:lvl>
    <w:lvl w:ilvl="7" w:tentative="0">
      <w:start w:val="1"/>
      <w:numFmt w:val="lowerLetter"/>
      <w:pStyle w:val="10"/>
      <w:suff w:val="nothing"/>
      <w:lvlText w:val="%8）"/>
      <w:lvlJc w:val="left"/>
      <w:pPr>
        <w:ind w:left="0" w:firstLine="402"/>
      </w:pPr>
      <w:rPr>
        <w:rFonts w:hint="eastAsia"/>
      </w:rPr>
    </w:lvl>
    <w:lvl w:ilvl="8" w:tentative="0">
      <w:start w:val="1"/>
      <w:numFmt w:val="lowerRoman"/>
      <w:pStyle w:val="11"/>
      <w:suff w:val="nothing"/>
      <w:lvlText w:val="%9 "/>
      <w:lvlJc w:val="left"/>
      <w:pPr>
        <w:ind w:left="0" w:firstLine="402"/>
      </w:pPr>
      <w:rPr>
        <w:rFonts w:hint="eastAsia"/>
      </w:rPr>
    </w:lvl>
  </w:abstractNum>
  <w:abstractNum w:abstractNumId="1">
    <w:nsid w:val="95C60D5C"/>
    <w:multiLevelType w:val="singleLevel"/>
    <w:tmpl w:val="95C60D5C"/>
    <w:lvl w:ilvl="0" w:tentative="0">
      <w:start w:val="1"/>
      <w:numFmt w:val="bullet"/>
      <w:lvlText w:val=""/>
      <w:lvlJc w:val="left"/>
      <w:pPr>
        <w:ind w:left="420" w:hanging="420"/>
      </w:pPr>
      <w:rPr>
        <w:rFonts w:hint="default" w:ascii="Wingdings" w:hAnsi="Wingdings"/>
      </w:rPr>
    </w:lvl>
  </w:abstractNum>
  <w:abstractNum w:abstractNumId="2">
    <w:nsid w:val="AD30D842"/>
    <w:multiLevelType w:val="multilevel"/>
    <w:tmpl w:val="AD30D842"/>
    <w:lvl w:ilvl="0" w:tentative="0">
      <w:start w:val="1"/>
      <w:numFmt w:val="bullet"/>
      <w:lvlText w:val=""/>
      <w:lvlJc w:val="left"/>
      <w:pPr>
        <w:ind w:left="900" w:hanging="420"/>
      </w:pPr>
      <w:rPr>
        <w:rFonts w:hint="default" w:ascii="Wingdings" w:hAnsi="Wingdings" w:cs="Wingdings"/>
      </w:rPr>
    </w:lvl>
    <w:lvl w:ilvl="1" w:tentative="0">
      <w:start w:val="1"/>
      <w:numFmt w:val="bullet"/>
      <w:lvlText w:val=""/>
      <w:lvlJc w:val="left"/>
      <w:pPr>
        <w:ind w:left="1320" w:hanging="420"/>
      </w:pPr>
      <w:rPr>
        <w:rFonts w:hint="default" w:ascii="Wingdings" w:hAnsi="Wingdings" w:cs="Wingdings"/>
      </w:rPr>
    </w:lvl>
    <w:lvl w:ilvl="2" w:tentative="0">
      <w:start w:val="1"/>
      <w:numFmt w:val="bullet"/>
      <w:lvlText w:val=""/>
      <w:lvlJc w:val="left"/>
      <w:pPr>
        <w:ind w:left="1740" w:hanging="420"/>
      </w:pPr>
      <w:rPr>
        <w:rFonts w:hint="default" w:ascii="Wingdings" w:hAnsi="Wingdings" w:cs="Wingdings"/>
      </w:rPr>
    </w:lvl>
    <w:lvl w:ilvl="3" w:tentative="0">
      <w:start w:val="1"/>
      <w:numFmt w:val="bullet"/>
      <w:lvlText w:val=""/>
      <w:lvlJc w:val="left"/>
      <w:pPr>
        <w:ind w:left="2160" w:hanging="420"/>
      </w:pPr>
      <w:rPr>
        <w:rFonts w:hint="default" w:ascii="Wingdings" w:hAnsi="Wingdings" w:cs="Wingdings"/>
      </w:rPr>
    </w:lvl>
    <w:lvl w:ilvl="4" w:tentative="0">
      <w:start w:val="1"/>
      <w:numFmt w:val="bullet"/>
      <w:lvlText w:val=""/>
      <w:lvlJc w:val="left"/>
      <w:pPr>
        <w:ind w:left="2580" w:hanging="420"/>
      </w:pPr>
      <w:rPr>
        <w:rFonts w:hint="default" w:ascii="Wingdings" w:hAnsi="Wingdings" w:cs="Wingdings"/>
      </w:rPr>
    </w:lvl>
    <w:lvl w:ilvl="5" w:tentative="0">
      <w:start w:val="1"/>
      <w:numFmt w:val="bullet"/>
      <w:lvlText w:val=""/>
      <w:lvlJc w:val="left"/>
      <w:pPr>
        <w:ind w:left="3000" w:hanging="420"/>
      </w:pPr>
      <w:rPr>
        <w:rFonts w:hint="default" w:ascii="Wingdings" w:hAnsi="Wingdings" w:cs="Wingdings"/>
      </w:rPr>
    </w:lvl>
    <w:lvl w:ilvl="6" w:tentative="0">
      <w:start w:val="1"/>
      <w:numFmt w:val="bullet"/>
      <w:lvlText w:val=""/>
      <w:lvlJc w:val="left"/>
      <w:pPr>
        <w:ind w:left="3420" w:hanging="420"/>
      </w:pPr>
      <w:rPr>
        <w:rFonts w:hint="default" w:ascii="Wingdings" w:hAnsi="Wingdings" w:cs="Wingdings"/>
      </w:rPr>
    </w:lvl>
    <w:lvl w:ilvl="7" w:tentative="0">
      <w:start w:val="1"/>
      <w:numFmt w:val="bullet"/>
      <w:lvlText w:val=""/>
      <w:lvlJc w:val="left"/>
      <w:pPr>
        <w:ind w:left="3840" w:hanging="420"/>
      </w:pPr>
      <w:rPr>
        <w:rFonts w:hint="default" w:ascii="Wingdings" w:hAnsi="Wingdings" w:cs="Wingdings"/>
      </w:rPr>
    </w:lvl>
    <w:lvl w:ilvl="8" w:tentative="0">
      <w:start w:val="1"/>
      <w:numFmt w:val="bullet"/>
      <w:lvlText w:val=""/>
      <w:lvlJc w:val="left"/>
      <w:pPr>
        <w:ind w:left="4260" w:hanging="420"/>
      </w:pPr>
      <w:rPr>
        <w:rFonts w:hint="default" w:ascii="Wingdings" w:hAnsi="Wingdings" w:cs="Wingdings"/>
      </w:rPr>
    </w:lvl>
  </w:abstractNum>
  <w:abstractNum w:abstractNumId="3">
    <w:nsid w:val="CCC03292"/>
    <w:multiLevelType w:val="singleLevel"/>
    <w:tmpl w:val="CCC03292"/>
    <w:lvl w:ilvl="0" w:tentative="0">
      <w:start w:val="1"/>
      <w:numFmt w:val="decimal"/>
      <w:lvlText w:val="%1."/>
      <w:lvlJc w:val="left"/>
      <w:pPr>
        <w:ind w:left="665" w:hanging="425"/>
      </w:pPr>
      <w:rPr>
        <w:rFonts w:hint="default"/>
      </w:rPr>
    </w:lvl>
  </w:abstractNum>
  <w:abstractNum w:abstractNumId="4">
    <w:nsid w:val="D3233FCE"/>
    <w:multiLevelType w:val="singleLevel"/>
    <w:tmpl w:val="D3233FCE"/>
    <w:lvl w:ilvl="0" w:tentative="0">
      <w:start w:val="1"/>
      <w:numFmt w:val="bullet"/>
      <w:lvlText w:val=""/>
      <w:lvlJc w:val="left"/>
      <w:pPr>
        <w:ind w:left="420" w:hanging="420"/>
      </w:pPr>
      <w:rPr>
        <w:rFonts w:hint="default" w:ascii="Wingdings" w:hAnsi="Wingdings"/>
      </w:rPr>
    </w:lvl>
  </w:abstractNum>
  <w:abstractNum w:abstractNumId="5">
    <w:nsid w:val="DF4D72E4"/>
    <w:multiLevelType w:val="singleLevel"/>
    <w:tmpl w:val="DF4D72E4"/>
    <w:lvl w:ilvl="0" w:tentative="0">
      <w:start w:val="1"/>
      <w:numFmt w:val="decimal"/>
      <w:lvlText w:val="%1."/>
      <w:lvlJc w:val="left"/>
      <w:pPr>
        <w:ind w:left="665" w:hanging="425"/>
      </w:pPr>
      <w:rPr>
        <w:rFonts w:hint="default"/>
      </w:rPr>
    </w:lvl>
  </w:abstractNum>
  <w:abstractNum w:abstractNumId="6">
    <w:nsid w:val="EDB3C709"/>
    <w:multiLevelType w:val="singleLevel"/>
    <w:tmpl w:val="EDB3C709"/>
    <w:lvl w:ilvl="0" w:tentative="0">
      <w:start w:val="1"/>
      <w:numFmt w:val="decimal"/>
      <w:lvlText w:val="%1."/>
      <w:lvlJc w:val="left"/>
      <w:pPr>
        <w:ind w:left="665" w:hanging="425"/>
      </w:pPr>
      <w:rPr>
        <w:rFonts w:hint="default"/>
      </w:rPr>
    </w:lvl>
  </w:abstractNum>
  <w:abstractNum w:abstractNumId="7">
    <w:nsid w:val="0AD3845B"/>
    <w:multiLevelType w:val="singleLevel"/>
    <w:tmpl w:val="0AD3845B"/>
    <w:lvl w:ilvl="0" w:tentative="0">
      <w:start w:val="1"/>
      <w:numFmt w:val="bullet"/>
      <w:lvlText w:val=""/>
      <w:lvlJc w:val="left"/>
      <w:pPr>
        <w:ind w:left="420" w:hanging="420"/>
      </w:pPr>
      <w:rPr>
        <w:rFonts w:hint="default" w:ascii="Wingdings" w:hAnsi="Wingdings"/>
      </w:rPr>
    </w:lvl>
  </w:abstractNum>
  <w:abstractNum w:abstractNumId="8">
    <w:nsid w:val="18925ABF"/>
    <w:multiLevelType w:val="multilevel"/>
    <w:tmpl w:val="18925ABF"/>
    <w:lvl w:ilvl="0" w:tentative="0">
      <w:start w:val="1"/>
      <w:numFmt w:val="chineseCountingThousand"/>
      <w:lvlText w:val="(%1)"/>
      <w:lvlJc w:val="left"/>
      <w:pPr>
        <w:tabs>
          <w:tab w:val="left" w:pos="420"/>
        </w:tabs>
        <w:ind w:left="420" w:hanging="420"/>
      </w:pPr>
      <w:rPr>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382EC8F0"/>
    <w:multiLevelType w:val="singleLevel"/>
    <w:tmpl w:val="382EC8F0"/>
    <w:lvl w:ilvl="0" w:tentative="0">
      <w:start w:val="1"/>
      <w:numFmt w:val="decimal"/>
      <w:lvlText w:val="%1."/>
      <w:lvlJc w:val="left"/>
      <w:pPr>
        <w:ind w:left="665" w:hanging="425"/>
      </w:pPr>
      <w:rPr>
        <w:rFonts w:hint="default"/>
      </w:rPr>
    </w:lvl>
  </w:abstractNum>
  <w:abstractNum w:abstractNumId="10">
    <w:nsid w:val="41EE7F78"/>
    <w:multiLevelType w:val="multilevel"/>
    <w:tmpl w:val="41EE7F78"/>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11">
    <w:nsid w:val="4AB6D0D0"/>
    <w:multiLevelType w:val="singleLevel"/>
    <w:tmpl w:val="4AB6D0D0"/>
    <w:lvl w:ilvl="0" w:tentative="0">
      <w:start w:val="1"/>
      <w:numFmt w:val="decimal"/>
      <w:lvlText w:val="%1."/>
      <w:lvlJc w:val="left"/>
      <w:pPr>
        <w:ind w:left="665" w:hanging="425"/>
      </w:pPr>
      <w:rPr>
        <w:rFonts w:hint="default"/>
      </w:rPr>
    </w:lvl>
  </w:abstractNum>
  <w:abstractNum w:abstractNumId="12">
    <w:nsid w:val="55B541AC"/>
    <w:multiLevelType w:val="multilevel"/>
    <w:tmpl w:val="55B541AC"/>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13">
    <w:nsid w:val="6D7EAC98"/>
    <w:multiLevelType w:val="singleLevel"/>
    <w:tmpl w:val="6D7EAC98"/>
    <w:lvl w:ilvl="0" w:tentative="0">
      <w:start w:val="1"/>
      <w:numFmt w:val="bullet"/>
      <w:lvlText w:val=""/>
      <w:lvlJc w:val="left"/>
      <w:pPr>
        <w:ind w:left="420" w:hanging="420"/>
      </w:pPr>
      <w:rPr>
        <w:rFonts w:hint="default" w:ascii="Wingdings" w:hAnsi="Wingdings"/>
      </w:rPr>
    </w:lvl>
  </w:abstractNum>
  <w:num w:numId="1">
    <w:abstractNumId w:val="0"/>
  </w:num>
  <w:num w:numId="2">
    <w:abstractNumId w:val="8"/>
  </w:num>
  <w:num w:numId="3">
    <w:abstractNumId w:val="2"/>
  </w:num>
  <w:num w:numId="4">
    <w:abstractNumId w:val="1"/>
  </w:num>
  <w:num w:numId="5">
    <w:abstractNumId w:val="13"/>
  </w:num>
  <w:num w:numId="6">
    <w:abstractNumId w:val="4"/>
  </w:num>
  <w:num w:numId="7">
    <w:abstractNumId w:val="7"/>
  </w:num>
  <w:num w:numId="8">
    <w:abstractNumId w:val="5"/>
  </w:num>
  <w:num w:numId="9">
    <w:abstractNumId w:val="6"/>
  </w:num>
  <w:num w:numId="10">
    <w:abstractNumId w:val="3"/>
  </w:num>
  <w:num w:numId="11">
    <w:abstractNumId w:val="11"/>
  </w:num>
  <w:num w:numId="12">
    <w:abstractNumId w:val="9"/>
  </w:num>
  <w:num w:numId="13">
    <w:abstractNumId w:val="1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HorizontalSpacing w:val="10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NiMGY5ZjIzMDNkOGJkMDk5MGY1NmFhYjE2OTEyODcifQ=="/>
    <w:docVar w:name="KSO_WPS_MARK_KEY" w:val="3443d758-7bd8-4ac0-9d3a-1757f86c8a6f"/>
  </w:docVars>
  <w:rsids>
    <w:rsidRoot w:val="19A81A65"/>
    <w:rsid w:val="00055BEC"/>
    <w:rsid w:val="00093F6E"/>
    <w:rsid w:val="000A4A67"/>
    <w:rsid w:val="000A6C04"/>
    <w:rsid w:val="00115FE5"/>
    <w:rsid w:val="001341BC"/>
    <w:rsid w:val="0015134E"/>
    <w:rsid w:val="001751C4"/>
    <w:rsid w:val="0019471B"/>
    <w:rsid w:val="001B3324"/>
    <w:rsid w:val="001B41F9"/>
    <w:rsid w:val="001D6008"/>
    <w:rsid w:val="00224F79"/>
    <w:rsid w:val="00233D23"/>
    <w:rsid w:val="0027739F"/>
    <w:rsid w:val="00285831"/>
    <w:rsid w:val="002B3546"/>
    <w:rsid w:val="002D2D73"/>
    <w:rsid w:val="002E2148"/>
    <w:rsid w:val="002E3E4F"/>
    <w:rsid w:val="002F7102"/>
    <w:rsid w:val="003205B0"/>
    <w:rsid w:val="00335F05"/>
    <w:rsid w:val="00351682"/>
    <w:rsid w:val="003745FF"/>
    <w:rsid w:val="0039638B"/>
    <w:rsid w:val="003A2525"/>
    <w:rsid w:val="003A305C"/>
    <w:rsid w:val="00420393"/>
    <w:rsid w:val="00426EAD"/>
    <w:rsid w:val="0048195A"/>
    <w:rsid w:val="004E2516"/>
    <w:rsid w:val="004E6B22"/>
    <w:rsid w:val="005375DF"/>
    <w:rsid w:val="0057086B"/>
    <w:rsid w:val="0058196A"/>
    <w:rsid w:val="005B7E78"/>
    <w:rsid w:val="006469A4"/>
    <w:rsid w:val="006E39AC"/>
    <w:rsid w:val="00734BD4"/>
    <w:rsid w:val="00754BBB"/>
    <w:rsid w:val="00762ED4"/>
    <w:rsid w:val="007C1083"/>
    <w:rsid w:val="007C77BC"/>
    <w:rsid w:val="007F0B6B"/>
    <w:rsid w:val="007F3917"/>
    <w:rsid w:val="00883C00"/>
    <w:rsid w:val="008966A6"/>
    <w:rsid w:val="008D7B5C"/>
    <w:rsid w:val="00907EB4"/>
    <w:rsid w:val="009221D7"/>
    <w:rsid w:val="00943E4F"/>
    <w:rsid w:val="00976683"/>
    <w:rsid w:val="009870FB"/>
    <w:rsid w:val="009907BD"/>
    <w:rsid w:val="009913BC"/>
    <w:rsid w:val="009E5FF4"/>
    <w:rsid w:val="00A122FD"/>
    <w:rsid w:val="00A304C3"/>
    <w:rsid w:val="00A6705F"/>
    <w:rsid w:val="00A73669"/>
    <w:rsid w:val="00AE461E"/>
    <w:rsid w:val="00B234B3"/>
    <w:rsid w:val="00B35838"/>
    <w:rsid w:val="00B64D94"/>
    <w:rsid w:val="00B71A35"/>
    <w:rsid w:val="00B93522"/>
    <w:rsid w:val="00C0489E"/>
    <w:rsid w:val="00C1233F"/>
    <w:rsid w:val="00C16565"/>
    <w:rsid w:val="00C21898"/>
    <w:rsid w:val="00C4131D"/>
    <w:rsid w:val="00C75703"/>
    <w:rsid w:val="00CA04EA"/>
    <w:rsid w:val="00CB4AC7"/>
    <w:rsid w:val="00CF6FDA"/>
    <w:rsid w:val="00D60BAA"/>
    <w:rsid w:val="00D637A9"/>
    <w:rsid w:val="00D67765"/>
    <w:rsid w:val="00D95C48"/>
    <w:rsid w:val="00D97377"/>
    <w:rsid w:val="00DB5E1E"/>
    <w:rsid w:val="00E273D8"/>
    <w:rsid w:val="00E76872"/>
    <w:rsid w:val="00E80EDF"/>
    <w:rsid w:val="00E92F6F"/>
    <w:rsid w:val="00EF0FF0"/>
    <w:rsid w:val="00F07C92"/>
    <w:rsid w:val="00F50754"/>
    <w:rsid w:val="00F55D03"/>
    <w:rsid w:val="00F70BAD"/>
    <w:rsid w:val="01927028"/>
    <w:rsid w:val="05C6318B"/>
    <w:rsid w:val="05D830A9"/>
    <w:rsid w:val="06564BBE"/>
    <w:rsid w:val="070036C2"/>
    <w:rsid w:val="07F820DC"/>
    <w:rsid w:val="08646E76"/>
    <w:rsid w:val="08D72F06"/>
    <w:rsid w:val="0949085A"/>
    <w:rsid w:val="099B0984"/>
    <w:rsid w:val="0E9B4C74"/>
    <w:rsid w:val="0EEA388F"/>
    <w:rsid w:val="0FC94EEE"/>
    <w:rsid w:val="118957EE"/>
    <w:rsid w:val="12BB699F"/>
    <w:rsid w:val="14D97769"/>
    <w:rsid w:val="154174F4"/>
    <w:rsid w:val="15677277"/>
    <w:rsid w:val="15C2006F"/>
    <w:rsid w:val="16467111"/>
    <w:rsid w:val="16D0087C"/>
    <w:rsid w:val="18744285"/>
    <w:rsid w:val="187B7395"/>
    <w:rsid w:val="19132971"/>
    <w:rsid w:val="19A81A65"/>
    <w:rsid w:val="19B87D8A"/>
    <w:rsid w:val="1ABD6D48"/>
    <w:rsid w:val="1AD06E1C"/>
    <w:rsid w:val="1BB609CB"/>
    <w:rsid w:val="1C481D12"/>
    <w:rsid w:val="1D9751F1"/>
    <w:rsid w:val="1E5A7ADD"/>
    <w:rsid w:val="1E7352C5"/>
    <w:rsid w:val="1F0C7DFB"/>
    <w:rsid w:val="2091403A"/>
    <w:rsid w:val="21180114"/>
    <w:rsid w:val="215D74B4"/>
    <w:rsid w:val="232A272E"/>
    <w:rsid w:val="25E519B5"/>
    <w:rsid w:val="267F60DE"/>
    <w:rsid w:val="27457FBA"/>
    <w:rsid w:val="29151C7E"/>
    <w:rsid w:val="29D21253"/>
    <w:rsid w:val="2AF228E9"/>
    <w:rsid w:val="2B481888"/>
    <w:rsid w:val="2BA2543C"/>
    <w:rsid w:val="2C43573E"/>
    <w:rsid w:val="2D4C117B"/>
    <w:rsid w:val="2E686F9E"/>
    <w:rsid w:val="30D65675"/>
    <w:rsid w:val="31F13E96"/>
    <w:rsid w:val="31F5377C"/>
    <w:rsid w:val="322C488A"/>
    <w:rsid w:val="332826CA"/>
    <w:rsid w:val="33C80225"/>
    <w:rsid w:val="354B0474"/>
    <w:rsid w:val="368316BE"/>
    <w:rsid w:val="37F012DD"/>
    <w:rsid w:val="38CA6E75"/>
    <w:rsid w:val="39AA24F1"/>
    <w:rsid w:val="3A3F7873"/>
    <w:rsid w:val="3A420ED3"/>
    <w:rsid w:val="3A695377"/>
    <w:rsid w:val="3CDE06CF"/>
    <w:rsid w:val="3E1D7CEA"/>
    <w:rsid w:val="3E772758"/>
    <w:rsid w:val="3EC75D2D"/>
    <w:rsid w:val="3FF11EBC"/>
    <w:rsid w:val="40F260C6"/>
    <w:rsid w:val="413E2ECE"/>
    <w:rsid w:val="415308DD"/>
    <w:rsid w:val="41B31BFE"/>
    <w:rsid w:val="44DE4948"/>
    <w:rsid w:val="47195F8F"/>
    <w:rsid w:val="47A12105"/>
    <w:rsid w:val="48D805C0"/>
    <w:rsid w:val="49215F10"/>
    <w:rsid w:val="4AD1549C"/>
    <w:rsid w:val="4BC71ED7"/>
    <w:rsid w:val="4DBE3EFF"/>
    <w:rsid w:val="4DC13902"/>
    <w:rsid w:val="4DD627C8"/>
    <w:rsid w:val="4E5559AC"/>
    <w:rsid w:val="4EA27608"/>
    <w:rsid w:val="4EE76455"/>
    <w:rsid w:val="4F1E2845"/>
    <w:rsid w:val="4F790CE8"/>
    <w:rsid w:val="52D44887"/>
    <w:rsid w:val="52E635B0"/>
    <w:rsid w:val="5325435C"/>
    <w:rsid w:val="53650979"/>
    <w:rsid w:val="53A21694"/>
    <w:rsid w:val="53C20C47"/>
    <w:rsid w:val="54617393"/>
    <w:rsid w:val="569B3F36"/>
    <w:rsid w:val="56CB217C"/>
    <w:rsid w:val="59A90807"/>
    <w:rsid w:val="59B750AA"/>
    <w:rsid w:val="5AD07C78"/>
    <w:rsid w:val="5AF306ED"/>
    <w:rsid w:val="5B7C71A8"/>
    <w:rsid w:val="5C8B32FC"/>
    <w:rsid w:val="5CFB2BEE"/>
    <w:rsid w:val="60CD295D"/>
    <w:rsid w:val="60D72D06"/>
    <w:rsid w:val="622131BD"/>
    <w:rsid w:val="62680BB8"/>
    <w:rsid w:val="645A6D39"/>
    <w:rsid w:val="65567251"/>
    <w:rsid w:val="65A2163C"/>
    <w:rsid w:val="69B93835"/>
    <w:rsid w:val="6A701C86"/>
    <w:rsid w:val="6D27714C"/>
    <w:rsid w:val="6F70172E"/>
    <w:rsid w:val="701F2C46"/>
    <w:rsid w:val="70D11876"/>
    <w:rsid w:val="72164118"/>
    <w:rsid w:val="72A44684"/>
    <w:rsid w:val="73305A22"/>
    <w:rsid w:val="7336172E"/>
    <w:rsid w:val="73D21C51"/>
    <w:rsid w:val="74A0140B"/>
    <w:rsid w:val="768E1D0F"/>
    <w:rsid w:val="76D35ABC"/>
    <w:rsid w:val="799B469D"/>
    <w:rsid w:val="79F457A7"/>
    <w:rsid w:val="79FC505E"/>
    <w:rsid w:val="7A447EF2"/>
    <w:rsid w:val="7B8D7482"/>
    <w:rsid w:val="7CDB6BAF"/>
    <w:rsid w:val="7D2C5EE0"/>
    <w:rsid w:val="7E61052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adjustRightInd w:val="0"/>
      <w:spacing w:line="360" w:lineRule="auto"/>
    </w:pPr>
    <w:rPr>
      <w:rFonts w:ascii="Times New Roman" w:hAnsi="Times New Roman" w:eastAsia="宋体" w:cs="Times New Roman"/>
      <w:sz w:val="24"/>
      <w:lang w:val="en-US" w:eastAsia="zh-CN" w:bidi="ar-SA"/>
    </w:rPr>
  </w:style>
  <w:style w:type="paragraph" w:styleId="2">
    <w:name w:val="heading 1"/>
    <w:basedOn w:val="1"/>
    <w:next w:val="1"/>
    <w:link w:val="25"/>
    <w:qFormat/>
    <w:uiPriority w:val="9"/>
    <w:pPr>
      <w:keepNext/>
      <w:keepLines/>
      <w:numPr>
        <w:ilvl w:val="0"/>
        <w:numId w:val="1"/>
      </w:numPr>
      <w:spacing w:before="340" w:after="330" w:line="576" w:lineRule="auto"/>
      <w:outlineLvl w:val="0"/>
    </w:pPr>
    <w:rPr>
      <w:b/>
      <w:kern w:val="44"/>
      <w:sz w:val="44"/>
    </w:rPr>
  </w:style>
  <w:style w:type="paragraph" w:styleId="3">
    <w:name w:val="heading 2"/>
    <w:basedOn w:val="1"/>
    <w:next w:val="4"/>
    <w:link w:val="29"/>
    <w:qFormat/>
    <w:uiPriority w:val="0"/>
    <w:pPr>
      <w:keepNext/>
      <w:keepLines/>
      <w:numPr>
        <w:ilvl w:val="1"/>
        <w:numId w:val="1"/>
      </w:numPr>
      <w:autoSpaceDE/>
      <w:autoSpaceDN/>
      <w:adjustRightInd/>
      <w:spacing w:before="260" w:after="260" w:line="416" w:lineRule="auto"/>
      <w:jc w:val="both"/>
      <w:outlineLvl w:val="1"/>
    </w:pPr>
    <w:rPr>
      <w:rFonts w:ascii="Arial" w:hAnsi="Arial" w:eastAsia="黑体"/>
      <w:b/>
      <w:bCs/>
      <w:kern w:val="2"/>
      <w:sz w:val="32"/>
      <w:szCs w:val="32"/>
    </w:rPr>
  </w:style>
  <w:style w:type="paragraph" w:styleId="5">
    <w:name w:val="heading 3"/>
    <w:basedOn w:val="1"/>
    <w:next w:val="4"/>
    <w:link w:val="31"/>
    <w:unhideWhenUsed/>
    <w:qFormat/>
    <w:uiPriority w:val="0"/>
    <w:pPr>
      <w:keepNext/>
      <w:keepLines/>
      <w:numPr>
        <w:ilvl w:val="2"/>
        <w:numId w:val="1"/>
      </w:numPr>
      <w:spacing w:before="260" w:after="260" w:line="416" w:lineRule="auto"/>
      <w:outlineLvl w:val="2"/>
    </w:pPr>
    <w:rPr>
      <w:b/>
      <w:bCs/>
      <w:sz w:val="32"/>
      <w:szCs w:val="32"/>
    </w:rPr>
  </w:style>
  <w:style w:type="paragraph" w:styleId="6">
    <w:name w:val="heading 4"/>
    <w:basedOn w:val="1"/>
    <w:next w:val="1"/>
    <w:link w:val="32"/>
    <w:unhideWhenUsed/>
    <w:qFormat/>
    <w:uiPriority w:val="0"/>
    <w:pPr>
      <w:keepNext/>
      <w:keepLines/>
      <w:numPr>
        <w:ilvl w:val="3"/>
        <w:numId w:val="1"/>
      </w:numPr>
      <w:spacing w:before="280" w:after="290" w:line="376" w:lineRule="auto"/>
      <w:ind w:left="0"/>
      <w:outlineLvl w:val="3"/>
    </w:pPr>
    <w:rPr>
      <w:rFonts w:asciiTheme="majorHAnsi" w:hAnsiTheme="majorHAnsi" w:eastAsiaTheme="majorEastAsia" w:cstheme="majorBidi"/>
      <w:b/>
      <w:bCs/>
      <w:sz w:val="28"/>
      <w:szCs w:val="28"/>
    </w:rPr>
  </w:style>
  <w:style w:type="paragraph" w:styleId="7">
    <w:name w:val="heading 5"/>
    <w:basedOn w:val="1"/>
    <w:next w:val="1"/>
    <w:link w:val="33"/>
    <w:unhideWhenUsed/>
    <w:qFormat/>
    <w:uiPriority w:val="0"/>
    <w:pPr>
      <w:keepNext/>
      <w:keepLines/>
      <w:numPr>
        <w:ilvl w:val="4"/>
        <w:numId w:val="1"/>
      </w:numPr>
      <w:spacing w:before="280" w:after="290" w:line="376" w:lineRule="auto"/>
      <w:outlineLvl w:val="4"/>
    </w:pPr>
    <w:rPr>
      <w:b/>
      <w:bCs/>
      <w:sz w:val="28"/>
      <w:szCs w:val="28"/>
    </w:rPr>
  </w:style>
  <w:style w:type="paragraph" w:styleId="8">
    <w:name w:val="heading 6"/>
    <w:basedOn w:val="1"/>
    <w:next w:val="1"/>
    <w:semiHidden/>
    <w:unhideWhenUsed/>
    <w:qFormat/>
    <w:uiPriority w:val="0"/>
    <w:pPr>
      <w:keepNext/>
      <w:keepLines/>
      <w:numPr>
        <w:ilvl w:val="5"/>
        <w:numId w:val="1"/>
      </w:numPr>
      <w:spacing w:line="317" w:lineRule="auto"/>
      <w:outlineLvl w:val="5"/>
    </w:pPr>
    <w:rPr>
      <w:rFonts w:ascii="Arial" w:hAnsi="Arial" w:eastAsia="黑体"/>
      <w:b/>
    </w:rPr>
  </w:style>
  <w:style w:type="paragraph" w:styleId="9">
    <w:name w:val="heading 7"/>
    <w:basedOn w:val="1"/>
    <w:next w:val="1"/>
    <w:semiHidden/>
    <w:unhideWhenUsed/>
    <w:qFormat/>
    <w:uiPriority w:val="0"/>
    <w:pPr>
      <w:keepNext/>
      <w:keepLines/>
      <w:numPr>
        <w:ilvl w:val="6"/>
        <w:numId w:val="1"/>
      </w:numPr>
      <w:spacing w:line="317" w:lineRule="auto"/>
      <w:outlineLvl w:val="6"/>
    </w:pPr>
    <w:rPr>
      <w:b/>
    </w:rPr>
  </w:style>
  <w:style w:type="paragraph" w:styleId="10">
    <w:name w:val="heading 8"/>
    <w:basedOn w:val="1"/>
    <w:next w:val="1"/>
    <w:semiHidden/>
    <w:unhideWhenUsed/>
    <w:qFormat/>
    <w:uiPriority w:val="0"/>
    <w:pPr>
      <w:keepNext/>
      <w:keepLines/>
      <w:numPr>
        <w:ilvl w:val="7"/>
        <w:numId w:val="1"/>
      </w:numPr>
      <w:spacing w:line="317" w:lineRule="auto"/>
      <w:outlineLvl w:val="7"/>
    </w:pPr>
    <w:rPr>
      <w:rFonts w:ascii="Arial" w:hAnsi="Arial" w:eastAsia="黑体"/>
    </w:rPr>
  </w:style>
  <w:style w:type="paragraph" w:styleId="11">
    <w:name w:val="heading 9"/>
    <w:basedOn w:val="1"/>
    <w:next w:val="1"/>
    <w:semiHidden/>
    <w:unhideWhenUsed/>
    <w:qFormat/>
    <w:uiPriority w:val="0"/>
    <w:pPr>
      <w:keepNext/>
      <w:keepLines/>
      <w:numPr>
        <w:ilvl w:val="8"/>
        <w:numId w:val="1"/>
      </w:numPr>
      <w:spacing w:line="317" w:lineRule="auto"/>
      <w:outlineLvl w:val="8"/>
    </w:pPr>
    <w:rPr>
      <w:rFonts w:ascii="Arial" w:hAnsi="Arial" w:eastAsia="黑体"/>
      <w:sz w:val="21"/>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12">
    <w:name w:val="annotation text"/>
    <w:basedOn w:val="1"/>
    <w:link w:val="35"/>
    <w:qFormat/>
    <w:uiPriority w:val="0"/>
  </w:style>
  <w:style w:type="paragraph" w:styleId="13">
    <w:name w:val="Balloon Text"/>
    <w:basedOn w:val="1"/>
    <w:link w:val="34"/>
    <w:qFormat/>
    <w:uiPriority w:val="0"/>
    <w:rPr>
      <w:sz w:val="18"/>
      <w:szCs w:val="18"/>
    </w:rPr>
  </w:style>
  <w:style w:type="paragraph" w:styleId="14">
    <w:name w:val="footer"/>
    <w:basedOn w:val="1"/>
    <w:link w:val="37"/>
    <w:qFormat/>
    <w:uiPriority w:val="99"/>
    <w:pPr>
      <w:tabs>
        <w:tab w:val="center" w:pos="4153"/>
        <w:tab w:val="right" w:pos="8306"/>
      </w:tabs>
      <w:snapToGrid w:val="0"/>
    </w:pPr>
    <w:rPr>
      <w:sz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6">
    <w:name w:val="Body Text Indent 3"/>
    <w:basedOn w:val="1"/>
    <w:qFormat/>
    <w:uiPriority w:val="0"/>
    <w:pPr>
      <w:spacing w:after="120"/>
      <w:ind w:left="420" w:leftChars="200"/>
    </w:pPr>
    <w:rPr>
      <w:sz w:val="16"/>
      <w:szCs w:val="16"/>
    </w:rPr>
  </w:style>
  <w:style w:type="paragraph" w:styleId="17">
    <w:name w:val="Normal (Web)"/>
    <w:basedOn w:val="1"/>
    <w:qFormat/>
    <w:uiPriority w:val="99"/>
    <w:pPr>
      <w:spacing w:before="100" w:beforeAutospacing="1" w:after="100" w:afterAutospacing="1"/>
    </w:pPr>
    <w:rPr>
      <w:rFonts w:ascii="宋体"/>
      <w:kern w:val="2"/>
    </w:rPr>
  </w:style>
  <w:style w:type="paragraph" w:styleId="18">
    <w:name w:val="annotation subject"/>
    <w:basedOn w:val="12"/>
    <w:next w:val="12"/>
    <w:link w:val="36"/>
    <w:qFormat/>
    <w:uiPriority w:val="0"/>
    <w:rPr>
      <w:b/>
      <w:bCs/>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1"/>
    <w:qFormat/>
    <w:uiPriority w:val="22"/>
    <w:rPr>
      <w:b/>
      <w:bCs/>
    </w:rPr>
  </w:style>
  <w:style w:type="character" w:styleId="23">
    <w:name w:val="annotation reference"/>
    <w:basedOn w:val="21"/>
    <w:qFormat/>
    <w:uiPriority w:val="0"/>
    <w:rPr>
      <w:sz w:val="21"/>
      <w:szCs w:val="21"/>
    </w:rPr>
  </w:style>
  <w:style w:type="paragraph" w:customStyle="1" w:styleId="24">
    <w:name w:val="正文正"/>
    <w:basedOn w:val="1"/>
    <w:qFormat/>
    <w:uiPriority w:val="0"/>
    <w:pPr>
      <w:spacing w:line="560" w:lineRule="exact"/>
      <w:ind w:firstLine="561"/>
    </w:pPr>
    <w:rPr>
      <w:rFonts w:ascii="Calibri" w:hAnsi="Calibri"/>
      <w:sz w:val="28"/>
      <w:szCs w:val="28"/>
    </w:rPr>
  </w:style>
  <w:style w:type="character" w:customStyle="1" w:styleId="25">
    <w:name w:val="标题 1 Char"/>
    <w:basedOn w:val="21"/>
    <w:link w:val="2"/>
    <w:qFormat/>
    <w:uiPriority w:val="9"/>
    <w:rPr>
      <w:b/>
      <w:kern w:val="44"/>
      <w:sz w:val="44"/>
    </w:rPr>
  </w:style>
  <w:style w:type="paragraph" w:customStyle="1" w:styleId="26">
    <w:name w:val="_Style 3"/>
    <w:basedOn w:val="1"/>
    <w:next w:val="16"/>
    <w:qFormat/>
    <w:uiPriority w:val="0"/>
    <w:pPr>
      <w:spacing w:line="480" w:lineRule="exact"/>
      <w:ind w:firstLine="560"/>
    </w:pPr>
    <w:rPr>
      <w:rFonts w:ascii="宋体" w:hAnsi="宋体"/>
      <w:color w:val="000000"/>
      <w:sz w:val="28"/>
    </w:rPr>
  </w:style>
  <w:style w:type="paragraph" w:styleId="27">
    <w:name w:val="No Spacing"/>
    <w:basedOn w:val="1"/>
    <w:qFormat/>
    <w:uiPriority w:val="1"/>
  </w:style>
  <w:style w:type="paragraph" w:customStyle="1" w:styleId="28">
    <w:name w:val="正文 New New New New New"/>
    <w:qFormat/>
    <w:uiPriority w:val="0"/>
    <w:pPr>
      <w:widowControl w:val="0"/>
      <w:jc w:val="both"/>
    </w:pPr>
    <w:rPr>
      <w:rFonts w:ascii="Calibri" w:hAnsi="Calibri" w:eastAsia="宋体" w:cs="Times New Roman"/>
      <w:kern w:val="2"/>
      <w:sz w:val="21"/>
      <w:szCs w:val="24"/>
      <w:lang w:val="en-US" w:eastAsia="zh-CN" w:bidi="ar-SA"/>
    </w:rPr>
  </w:style>
  <w:style w:type="character" w:customStyle="1" w:styleId="29">
    <w:name w:val="标题 2 Char"/>
    <w:basedOn w:val="21"/>
    <w:link w:val="3"/>
    <w:qFormat/>
    <w:uiPriority w:val="0"/>
    <w:rPr>
      <w:rFonts w:ascii="Arial" w:hAnsi="Arial" w:eastAsia="黑体"/>
      <w:b/>
      <w:bCs/>
      <w:kern w:val="2"/>
      <w:sz w:val="32"/>
      <w:szCs w:val="32"/>
    </w:rPr>
  </w:style>
  <w:style w:type="paragraph" w:styleId="30">
    <w:name w:val="List Paragraph"/>
    <w:basedOn w:val="1"/>
    <w:qFormat/>
    <w:uiPriority w:val="34"/>
    <w:pPr>
      <w:ind w:firstLine="420" w:firstLineChars="200"/>
    </w:pPr>
  </w:style>
  <w:style w:type="character" w:customStyle="1" w:styleId="31">
    <w:name w:val="标题 3 Char"/>
    <w:basedOn w:val="21"/>
    <w:link w:val="5"/>
    <w:qFormat/>
    <w:uiPriority w:val="0"/>
    <w:rPr>
      <w:b/>
      <w:bCs/>
      <w:sz w:val="32"/>
      <w:szCs w:val="32"/>
    </w:rPr>
  </w:style>
  <w:style w:type="character" w:customStyle="1" w:styleId="32">
    <w:name w:val="标题 4 Char"/>
    <w:basedOn w:val="21"/>
    <w:link w:val="6"/>
    <w:qFormat/>
    <w:uiPriority w:val="0"/>
    <w:rPr>
      <w:rFonts w:asciiTheme="majorHAnsi" w:hAnsiTheme="majorHAnsi" w:eastAsiaTheme="majorEastAsia" w:cstheme="majorBidi"/>
      <w:b/>
      <w:bCs/>
      <w:sz w:val="28"/>
      <w:szCs w:val="28"/>
    </w:rPr>
  </w:style>
  <w:style w:type="character" w:customStyle="1" w:styleId="33">
    <w:name w:val="标题 5 Char"/>
    <w:basedOn w:val="21"/>
    <w:link w:val="7"/>
    <w:qFormat/>
    <w:uiPriority w:val="0"/>
    <w:rPr>
      <w:b/>
      <w:bCs/>
      <w:sz w:val="28"/>
      <w:szCs w:val="28"/>
    </w:rPr>
  </w:style>
  <w:style w:type="character" w:customStyle="1" w:styleId="34">
    <w:name w:val="批注框文本 Char"/>
    <w:basedOn w:val="21"/>
    <w:link w:val="13"/>
    <w:qFormat/>
    <w:uiPriority w:val="0"/>
    <w:rPr>
      <w:sz w:val="18"/>
      <w:szCs w:val="18"/>
    </w:rPr>
  </w:style>
  <w:style w:type="character" w:customStyle="1" w:styleId="35">
    <w:name w:val="批注文字 Char"/>
    <w:basedOn w:val="21"/>
    <w:link w:val="12"/>
    <w:qFormat/>
    <w:uiPriority w:val="0"/>
  </w:style>
  <w:style w:type="character" w:customStyle="1" w:styleId="36">
    <w:name w:val="批注主题 Char"/>
    <w:basedOn w:val="35"/>
    <w:link w:val="18"/>
    <w:qFormat/>
    <w:uiPriority w:val="0"/>
    <w:rPr>
      <w:b/>
      <w:bCs/>
    </w:rPr>
  </w:style>
  <w:style w:type="character" w:customStyle="1" w:styleId="37">
    <w:name w:val="页脚 Char"/>
    <w:basedOn w:val="21"/>
    <w:link w:val="14"/>
    <w:qFormat/>
    <w:uiPriority w:val="99"/>
    <w:rPr>
      <w:sz w:val="18"/>
    </w:rPr>
  </w:style>
  <w:style w:type="paragraph" w:customStyle="1" w:styleId="38">
    <w:name w:val="(标书)正文 Char"/>
    <w:basedOn w:val="1"/>
    <w:qFormat/>
    <w:uiPriority w:val="0"/>
    <w:pPr>
      <w:ind w:firstLine="520" w:firstLineChars="200"/>
    </w:pPr>
    <w:rPr>
      <w:spacing w:val="10"/>
      <w:szCs w:val="24"/>
    </w:rPr>
  </w:style>
  <w:style w:type="character" w:customStyle="1" w:styleId="39">
    <w:name w:val="font11"/>
    <w:basedOn w:val="21"/>
    <w:qFormat/>
    <w:uiPriority w:val="0"/>
    <w:rPr>
      <w:rFonts w:hint="eastAsia" w:ascii="宋体" w:hAnsi="宋体" w:eastAsia="宋体" w:cs="宋体"/>
      <w:color w:val="000000"/>
      <w:sz w:val="20"/>
      <w:szCs w:val="20"/>
      <w:u w:val="none"/>
    </w:rPr>
  </w:style>
  <w:style w:type="character" w:customStyle="1" w:styleId="40">
    <w:name w:val="font01"/>
    <w:basedOn w:val="21"/>
    <w:qFormat/>
    <w:uiPriority w:val="0"/>
    <w:rPr>
      <w:rFonts w:hint="default" w:ascii="Arial" w:hAnsi="Arial" w:cs="Arial"/>
      <w:color w:val="000000"/>
      <w:sz w:val="20"/>
      <w:szCs w:val="20"/>
      <w:u w:val="none"/>
    </w:rPr>
  </w:style>
  <w:style w:type="character" w:customStyle="1" w:styleId="41">
    <w:name w:val="font21"/>
    <w:basedOn w:val="21"/>
    <w:qFormat/>
    <w:uiPriority w:val="0"/>
    <w:rPr>
      <w:rFonts w:ascii="Calibri" w:hAnsi="Calibri" w:cs="Calibri"/>
      <w:color w:val="000000"/>
      <w:sz w:val="21"/>
      <w:szCs w:val="21"/>
      <w:u w:val="none"/>
    </w:rPr>
  </w:style>
  <w:style w:type="character" w:customStyle="1" w:styleId="42">
    <w:name w:val="font31"/>
    <w:basedOn w:val="21"/>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7F539-9FAF-42A7-BB69-3F8C801070E6}">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12</Pages>
  <Words>6655</Words>
  <Characters>7173</Characters>
  <Lines>439</Lines>
  <Paragraphs>432</Paragraphs>
  <TotalTime>17</TotalTime>
  <ScaleCrop>false</ScaleCrop>
  <LinksUpToDate>false</LinksUpToDate>
  <CharactersWithSpaces>7201</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2022-08-30T08:09:00Z</dcterms:created>
  <dc:creator>翁诚 丘雍</dc:creator>
  <cp:lastModifiedBy>何超文</cp:lastModifiedBy>
  <cp:lastPrinted>2022-09-05T03:10:00Z</cp:lastPrinted>
  <dcterms:modified xsi:type="dcterms:W3CDTF">2025-02-05T06:43:35Z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1F8E6BCD5DFD4413B0757246C1D6C19B</vt:lpwstr>
  </property>
  <property fmtid="{D5CDD505-2E9C-101B-9397-08002B2CF9AE}" pid="4" name="GSEDS_TWMT">
    <vt:lpwstr>d46a6755_b77b54e0_78c901088382cc3e1e6c05f559b147d72117e95f61ade2486aa5fa4184dbb435</vt:lpwstr>
  </property>
  <property fmtid="{D5CDD505-2E9C-101B-9397-08002B2CF9AE}" pid="5" name="GSEDS_HWMT_d46a6755">
    <vt:lpwstr>f245f3f7_mFV3wD84Kyk2NspOkXv8q4e0BrA=_8QYrr0ZNXF8pbYQi+iyuw8Fh+oRtC/Qry25sLscjMdTE62gepjdwHE4ISkri3Vwdu6hRvOwL54eTxQ==_20eb66d2</vt:lpwstr>
  </property>
</Properties>
</file>