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jc w:val="both"/>
        <w:rPr>
          <w:rStyle w:val="25"/>
          <w:rFonts w:ascii="宋体" w:hAnsi="宋体" w:cs="宋体"/>
          <w:sz w:val="40"/>
          <w:szCs w:val="40"/>
        </w:rPr>
      </w:pPr>
      <w:bookmarkStart w:id="0" w:name="_Toc19"/>
      <w:bookmarkStart w:id="1" w:name="_Toc25960"/>
      <w:bookmarkStart w:id="2" w:name="_Toc6231"/>
      <w:bookmarkStart w:id="3" w:name="_Toc30765"/>
      <w:bookmarkStart w:id="4" w:name="_Toc4215"/>
      <w:bookmarkStart w:id="5" w:name="_Toc2483"/>
      <w:bookmarkStart w:id="6" w:name="_Toc92364451"/>
    </w:p>
    <w:p>
      <w:pPr>
        <w:widowControl/>
        <w:autoSpaceDE/>
        <w:autoSpaceDN/>
        <w:adjustRightInd/>
        <w:jc w:val="center"/>
        <w:rPr>
          <w:rStyle w:val="25"/>
          <w:rFonts w:ascii="宋体" w:hAnsi="宋体" w:cs="宋体"/>
          <w:sz w:val="44"/>
          <w:szCs w:val="44"/>
        </w:rPr>
      </w:pPr>
      <w:r>
        <w:rPr>
          <w:rStyle w:val="25"/>
          <w:rFonts w:hint="eastAsia" w:ascii="宋体" w:hAnsi="宋体" w:cs="宋体"/>
          <w:sz w:val="44"/>
          <w:szCs w:val="44"/>
          <w:lang w:val="en-US" w:eastAsia="zh-CN"/>
        </w:rPr>
        <w:t>广州医科大学附属第三医院黄埔院区-安检改造项目</w:t>
      </w:r>
      <w:r>
        <w:rPr>
          <w:rStyle w:val="25"/>
          <w:rFonts w:hint="eastAsia" w:ascii="宋体" w:hAnsi="宋体" w:cs="宋体"/>
          <w:sz w:val="44"/>
          <w:szCs w:val="44"/>
        </w:rPr>
        <w:t>需求书</w:t>
      </w:r>
      <w:bookmarkEnd w:id="0"/>
      <w:bookmarkEnd w:id="1"/>
      <w:bookmarkEnd w:id="2"/>
      <w:bookmarkEnd w:id="3"/>
      <w:bookmarkEnd w:id="4"/>
      <w:bookmarkEnd w:id="5"/>
      <w:bookmarkEnd w:id="6"/>
    </w:p>
    <w:p>
      <w:pPr>
        <w:pStyle w:val="2"/>
        <w:spacing w:line="360" w:lineRule="auto"/>
        <w:ind w:left="425" w:hanging="425"/>
        <w:rPr>
          <w:rFonts w:ascii="宋体" w:hAnsi="宋体" w:cs="宋体"/>
          <w:sz w:val="44"/>
          <w:szCs w:val="44"/>
        </w:rPr>
      </w:pPr>
      <w:r>
        <w:rPr>
          <w:rFonts w:hint="eastAsia" w:ascii="宋体" w:hAnsi="宋体" w:cs="宋体"/>
          <w:sz w:val="44"/>
          <w:szCs w:val="44"/>
        </w:rPr>
        <w:t>相关说明</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投标人须对本项目的采购标的进行整体投标，任何只对本项目采购标的其中一部分内容、数量进行的投标都应予否决投标。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采购需求中标注“★”号条款为实质性条款，必须逐条进行响应，有任何一条负偏离的，应予否决投标。</w:t>
      </w:r>
    </w:p>
    <w:p>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采购需求中标注“▲”号条款为重要技术参数，但不作为否决投标条款。</w:t>
      </w:r>
    </w:p>
    <w:p>
      <w:pPr>
        <w:pStyle w:val="2"/>
        <w:spacing w:line="360" w:lineRule="auto"/>
        <w:rPr>
          <w:rFonts w:ascii="宋体" w:hAnsi="宋体" w:cs="宋体"/>
        </w:rPr>
      </w:pPr>
      <w:r>
        <w:rPr>
          <w:rFonts w:hint="eastAsia" w:ascii="宋体" w:hAnsi="宋体" w:cs="宋体"/>
        </w:rPr>
        <w:t>项目预算</w:t>
      </w:r>
    </w:p>
    <w:tbl>
      <w:tblPr>
        <w:tblStyle w:val="19"/>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2"/>
        <w:gridCol w:w="1815"/>
        <w:gridCol w:w="2145"/>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12"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采购内容</w:t>
            </w:r>
          </w:p>
        </w:tc>
        <w:tc>
          <w:tcPr>
            <w:tcW w:w="181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数量</w:t>
            </w:r>
          </w:p>
        </w:tc>
        <w:tc>
          <w:tcPr>
            <w:tcW w:w="2145"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交货期</w:t>
            </w:r>
          </w:p>
        </w:tc>
        <w:tc>
          <w:tcPr>
            <w:tcW w:w="2153" w:type="dxa"/>
            <w:shd w:val="clear" w:color="auto" w:fill="EEECE1"/>
            <w:vAlign w:val="center"/>
          </w:tcPr>
          <w:p>
            <w:pPr>
              <w:jc w:val="center"/>
              <w:rPr>
                <w:rFonts w:ascii="宋体" w:hAnsi="宋体" w:cs="宋体"/>
                <w:b/>
                <w:color w:val="auto"/>
                <w:szCs w:val="24"/>
              </w:rPr>
            </w:pPr>
            <w:r>
              <w:rPr>
                <w:rFonts w:hint="eastAsia" w:ascii="宋体" w:hAnsi="宋体" w:cs="宋体"/>
                <w:b/>
                <w:color w:val="auto"/>
                <w:szCs w:val="24"/>
              </w:rPr>
              <w:t>最高限价</w:t>
            </w:r>
          </w:p>
          <w:p>
            <w:pPr>
              <w:jc w:val="center"/>
              <w:rPr>
                <w:rFonts w:ascii="宋体" w:hAnsi="宋体" w:cs="宋体"/>
                <w:b/>
                <w:color w:val="auto"/>
                <w:szCs w:val="24"/>
              </w:rPr>
            </w:pPr>
            <w:r>
              <w:rPr>
                <w:rFonts w:hint="eastAsia" w:ascii="宋体" w:hAnsi="宋体" w:cs="宋体"/>
                <w:b/>
                <w:color w:val="auto"/>
              </w:rPr>
              <w:t>（</w:t>
            </w:r>
            <w:r>
              <w:rPr>
                <w:rFonts w:hint="eastAsia" w:ascii="宋体" w:hAnsi="宋体" w:cs="宋体"/>
                <w:color w:val="auto"/>
              </w:rPr>
              <w:t xml:space="preserve">人民币 </w:t>
            </w:r>
            <w:r>
              <w:rPr>
                <w:rFonts w:hint="eastAsia" w:ascii="宋体" w:hAnsi="宋体" w:cs="宋体"/>
                <w:color w:val="auto"/>
                <w:lang w:val="en-US" w:eastAsia="zh-CN"/>
              </w:rPr>
              <w:t>万</w:t>
            </w:r>
            <w:r>
              <w:rPr>
                <w:rFonts w:hint="eastAsia" w:ascii="宋体" w:hAnsi="宋体" w:cs="宋体"/>
                <w:color w:val="auto"/>
              </w:rPr>
              <w:t>元</w:t>
            </w:r>
            <w:r>
              <w:rPr>
                <w:rFonts w:hint="eastAsia" w:ascii="宋体" w:hAnsi="宋体" w:cs="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pPr>
              <w:widowControl/>
              <w:jc w:val="center"/>
              <w:textAlignment w:val="center"/>
              <w:rPr>
                <w:rFonts w:ascii="宋体" w:hAnsi="宋体" w:cs="宋体"/>
                <w:color w:val="auto"/>
                <w:sz w:val="20"/>
              </w:rPr>
            </w:pPr>
            <w:r>
              <w:rPr>
                <w:rFonts w:hint="eastAsia" w:ascii="宋体" w:hAnsi="宋体" w:cs="宋体"/>
                <w:color w:val="auto"/>
                <w:sz w:val="24"/>
                <w:szCs w:val="24"/>
                <w:lang w:val="en-US" w:eastAsia="zh-CN"/>
              </w:rPr>
              <w:t>安检</w:t>
            </w:r>
            <w:r>
              <w:rPr>
                <w:rFonts w:hint="eastAsia" w:ascii="宋体" w:hAnsi="宋体" w:cs="宋体"/>
                <w:color w:val="auto"/>
                <w:sz w:val="24"/>
                <w:szCs w:val="24"/>
              </w:rPr>
              <w:t>改造项目</w:t>
            </w:r>
          </w:p>
        </w:tc>
        <w:tc>
          <w:tcPr>
            <w:tcW w:w="1815" w:type="dxa"/>
            <w:vAlign w:val="center"/>
          </w:tcPr>
          <w:p>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1项</w:t>
            </w:r>
          </w:p>
        </w:tc>
        <w:tc>
          <w:tcPr>
            <w:tcW w:w="2145" w:type="dxa"/>
            <w:vAlign w:val="center"/>
          </w:tcPr>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自合同签订之日起</w:t>
            </w:r>
          </w:p>
          <w:p>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30日历天内</w:t>
            </w:r>
          </w:p>
        </w:tc>
        <w:tc>
          <w:tcPr>
            <w:tcW w:w="2153" w:type="dxa"/>
            <w:vAlign w:val="center"/>
          </w:tcPr>
          <w:p>
            <w:pPr>
              <w:jc w:val="center"/>
              <w:rPr>
                <w:rFonts w:hint="default" w:ascii="宋体" w:hAnsi="宋体" w:cs="宋体"/>
                <w:color w:val="auto"/>
                <w:szCs w:val="24"/>
                <w:lang w:val="en-US"/>
              </w:rPr>
            </w:pPr>
            <w:r>
              <w:rPr>
                <w:rFonts w:hint="eastAsia" w:ascii="宋体" w:hAnsi="宋体" w:cs="宋体"/>
                <w:color w:val="auto"/>
                <w:szCs w:val="24"/>
                <w:lang w:val="en-US" w:eastAsia="zh-CN"/>
              </w:rPr>
              <w:t>17.519</w:t>
            </w:r>
          </w:p>
        </w:tc>
      </w:tr>
    </w:tbl>
    <w:p>
      <w:pPr>
        <w:pStyle w:val="2"/>
        <w:spacing w:line="360" w:lineRule="auto"/>
        <w:rPr>
          <w:rFonts w:ascii="宋体" w:hAnsi="宋体" w:cs="宋体"/>
          <w:color w:val="auto"/>
        </w:rPr>
      </w:pPr>
      <w:r>
        <w:rPr>
          <w:rFonts w:hint="eastAsia" w:ascii="宋体" w:hAnsi="宋体" w:cs="宋体"/>
          <w:color w:val="auto"/>
        </w:rPr>
        <w:t>项目概况</w:t>
      </w:r>
    </w:p>
    <w:p>
      <w:pPr>
        <w:pStyle w:val="3"/>
        <w:spacing w:line="360" w:lineRule="auto"/>
        <w:rPr>
          <w:rFonts w:ascii="宋体" w:hAnsi="宋体" w:eastAsia="宋体" w:cs="宋体"/>
          <w:color w:val="auto"/>
        </w:rPr>
      </w:pPr>
      <w:r>
        <w:rPr>
          <w:rFonts w:hint="eastAsia" w:ascii="宋体" w:hAnsi="宋体" w:eastAsia="宋体" w:cs="宋体"/>
          <w:color w:val="auto"/>
        </w:rPr>
        <w:t>项目背景</w:t>
      </w:r>
    </w:p>
    <w:p>
      <w:pPr>
        <w:widowControl/>
        <w:ind w:firstLine="480" w:firstLineChars="200"/>
        <w:rPr>
          <w:rFonts w:ascii="宋体" w:hAnsi="宋体" w:cs="宋体"/>
          <w:color w:val="auto"/>
        </w:rPr>
      </w:pPr>
      <w:r>
        <w:rPr>
          <w:rFonts w:hint="eastAsia" w:ascii="宋体" w:hAnsi="宋体" w:cs="宋体"/>
          <w:color w:val="auto"/>
        </w:rPr>
        <w:t>为加强对</w:t>
      </w:r>
      <w:r>
        <w:rPr>
          <w:rFonts w:hint="eastAsia" w:ascii="宋体" w:hAnsi="宋体" w:cs="宋体"/>
          <w:color w:val="auto"/>
          <w:lang w:val="en-US" w:eastAsia="zh-CN"/>
        </w:rPr>
        <w:t>医院主要出入口的安全</w:t>
      </w:r>
      <w:r>
        <w:rPr>
          <w:rFonts w:hint="eastAsia" w:ascii="宋体" w:hAnsi="宋体" w:cs="宋体"/>
          <w:color w:val="auto"/>
        </w:rPr>
        <w:t>管理</w:t>
      </w:r>
      <w:r>
        <w:rPr>
          <w:rFonts w:hint="eastAsia" w:ascii="宋体" w:hAnsi="宋体" w:cs="宋体"/>
          <w:color w:val="auto"/>
          <w:lang w:eastAsia="zh-CN"/>
        </w:rPr>
        <w:t>，</w:t>
      </w:r>
      <w:r>
        <w:rPr>
          <w:rFonts w:hint="eastAsia" w:ascii="宋体" w:hAnsi="宋体" w:cs="宋体"/>
          <w:color w:val="auto"/>
          <w:lang w:val="en-US" w:eastAsia="zh-CN"/>
        </w:rPr>
        <w:t>落实相关部门对医院安全保障业务的要求</w:t>
      </w:r>
      <w:r>
        <w:rPr>
          <w:rFonts w:hint="eastAsia" w:ascii="宋体" w:hAnsi="宋体" w:cs="宋体"/>
          <w:color w:val="auto"/>
        </w:rPr>
        <w:t>。广州医科大学附属第三医院计划在黄埔院区部分</w:t>
      </w:r>
      <w:r>
        <w:rPr>
          <w:rFonts w:hint="eastAsia" w:ascii="宋体" w:hAnsi="宋体" w:cs="宋体"/>
          <w:color w:val="auto"/>
          <w:lang w:val="en-US" w:eastAsia="zh-CN"/>
        </w:rPr>
        <w:t>出入口增加、改造安检设备</w:t>
      </w:r>
      <w:r>
        <w:rPr>
          <w:rFonts w:hint="eastAsia" w:ascii="宋体" w:hAnsi="宋体" w:cs="宋体"/>
          <w:color w:val="auto"/>
        </w:rPr>
        <w:t>。</w:t>
      </w:r>
    </w:p>
    <w:p>
      <w:pPr>
        <w:pStyle w:val="3"/>
        <w:spacing w:line="360" w:lineRule="auto"/>
        <w:rPr>
          <w:rFonts w:ascii="宋体" w:hAnsi="宋体" w:eastAsia="宋体" w:cs="宋体"/>
          <w:color w:val="auto"/>
        </w:rPr>
      </w:pPr>
      <w:r>
        <w:rPr>
          <w:rFonts w:hint="eastAsia" w:ascii="宋体" w:hAnsi="宋体" w:eastAsia="宋体" w:cs="宋体"/>
          <w:color w:val="auto"/>
        </w:rPr>
        <w:t>建设原则</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实用原则</w:t>
      </w:r>
    </w:p>
    <w:p>
      <w:pPr>
        <w:ind w:firstLine="480"/>
        <w:rPr>
          <w:rFonts w:ascii="宋体" w:hAnsi="宋体" w:cs="宋体"/>
          <w:color w:val="auto"/>
          <w:szCs w:val="24"/>
        </w:rPr>
      </w:pPr>
      <w:r>
        <w:rPr>
          <w:rFonts w:hint="eastAsia" w:ascii="宋体" w:hAnsi="宋体" w:cs="宋体"/>
          <w:color w:val="auto"/>
          <w:kern w:val="2"/>
          <w:szCs w:val="24"/>
        </w:rPr>
        <w:t>以满足实际应用需求为原则，坚持先进，兼容传统，实现系统集成、系统互联、资源整合与信息共享。把实用性放在第一位，边建设边应用，把系统建设成“实用工程”。</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安全原则</w:t>
      </w:r>
    </w:p>
    <w:p>
      <w:pPr>
        <w:ind w:firstLine="480"/>
        <w:rPr>
          <w:rFonts w:ascii="宋体" w:hAnsi="宋体" w:cs="宋体"/>
          <w:color w:val="auto"/>
          <w:szCs w:val="24"/>
        </w:rPr>
      </w:pPr>
      <w:r>
        <w:rPr>
          <w:rFonts w:hint="eastAsia" w:ascii="宋体" w:hAnsi="宋体" w:cs="宋体"/>
          <w:color w:val="auto"/>
          <w:kern w:val="2"/>
          <w:szCs w:val="24"/>
        </w:rPr>
        <w:t>网络环境下信息传输和数据存储注重安全，保障系统网络的安全可靠性，避免遭到恶意攻击和数据被非法提取的现象出现。</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开放性原则</w:t>
      </w:r>
    </w:p>
    <w:p>
      <w:pPr>
        <w:ind w:firstLine="480"/>
        <w:rPr>
          <w:rFonts w:ascii="宋体" w:hAnsi="宋体" w:cs="宋体"/>
          <w:color w:val="auto"/>
          <w:szCs w:val="24"/>
        </w:rPr>
      </w:pPr>
      <w:r>
        <w:rPr>
          <w:rFonts w:hint="eastAsia" w:ascii="宋体" w:hAnsi="宋体" w:cs="宋体"/>
          <w:color w:val="auto"/>
          <w:kern w:val="2"/>
          <w:szCs w:val="24"/>
        </w:rPr>
        <w:t>系统建设必须按照开放性和标准性原则设计；提供全套的技术资料和全面的技术培训，以满足系统与其它系统协同运行以及系统功能扩展的需求。</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扩展性原则</w:t>
      </w:r>
    </w:p>
    <w:p>
      <w:pPr>
        <w:ind w:firstLine="480"/>
        <w:rPr>
          <w:rFonts w:ascii="宋体" w:hAnsi="宋体" w:cs="宋体"/>
          <w:color w:val="auto"/>
          <w:szCs w:val="24"/>
        </w:rPr>
      </w:pPr>
      <w:r>
        <w:rPr>
          <w:rFonts w:hint="eastAsia" w:ascii="宋体" w:hAnsi="宋体" w:cs="宋体"/>
          <w:color w:val="auto"/>
          <w:kern w:val="2"/>
          <w:szCs w:val="24"/>
        </w:rPr>
        <w:t>技术选型除了考虑先进、实用，还必须考虑系统的扩展性，系统容量应该有可持续发展的考虑。</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稳定性原则</w:t>
      </w:r>
    </w:p>
    <w:p>
      <w:pPr>
        <w:ind w:firstLine="480"/>
        <w:rPr>
          <w:rFonts w:ascii="宋体" w:hAnsi="宋体" w:cs="宋体"/>
          <w:color w:val="auto"/>
          <w:szCs w:val="24"/>
        </w:rPr>
      </w:pPr>
      <w:r>
        <w:rPr>
          <w:rFonts w:hint="eastAsia" w:ascii="宋体" w:hAnsi="宋体" w:cs="宋体"/>
          <w:color w:val="auto"/>
          <w:kern w:val="2"/>
          <w:szCs w:val="24"/>
        </w:rPr>
        <w:t>从系统结构、技术措施、设备性能、系统管理、厂商技术支持及维修能力等方面保障系统的可靠性和稳定性。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易操作原则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强调以人为本的设计思想，适应多功能、外向型的需求，对于来自内外的各种信息进行收集、处理、存储、传输、检索、查询，为实际使用者和管理者提供有效的信息服务和充分的决策依据，为用户和管理人员提供安全、舒适、方便、快捷、高效、节约的工作和办公环境。</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可维护性原则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系统应具备自检、故障诊断及故障弱化功能，在出现故障时，应能得到及时、快速的修复。</w:t>
      </w:r>
    </w:p>
    <w:p>
      <w:pPr>
        <w:numPr>
          <w:ilvl w:val="0"/>
          <w:numId w:val="3"/>
        </w:numPr>
        <w:ind w:left="0" w:firstLine="482" w:firstLineChars="200"/>
        <w:jc w:val="both"/>
        <w:rPr>
          <w:rFonts w:ascii="宋体" w:hAnsi="宋体" w:cs="宋体"/>
          <w:b/>
          <w:color w:val="auto"/>
          <w:szCs w:val="24"/>
        </w:rPr>
      </w:pPr>
      <w:bookmarkStart w:id="7" w:name="_Toc480982528"/>
      <w:bookmarkStart w:id="8" w:name="_Toc476309370"/>
      <w:r>
        <w:rPr>
          <w:rFonts w:hint="eastAsia" w:ascii="宋体" w:hAnsi="宋体" w:cs="宋体"/>
          <w:b/>
          <w:color w:val="auto"/>
          <w:kern w:val="2"/>
          <w:szCs w:val="24"/>
        </w:rPr>
        <w:t>经济</w:t>
      </w:r>
      <w:bookmarkEnd w:id="7"/>
      <w:bookmarkEnd w:id="8"/>
      <w:r>
        <w:rPr>
          <w:rFonts w:hint="eastAsia" w:ascii="宋体" w:hAnsi="宋体" w:cs="宋体"/>
          <w:b/>
          <w:color w:val="auto"/>
          <w:kern w:val="2"/>
          <w:szCs w:val="24"/>
        </w:rPr>
        <w:t>原则</w:t>
      </w:r>
    </w:p>
    <w:p>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在实现先进性和可靠性的前提下，以经济优化的设计达到较高的性价比。在确保用户需求、系统集成要求的前提下充分考虑现有设备的利旧使用。</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先进性</w:t>
      </w:r>
    </w:p>
    <w:p>
      <w:pPr>
        <w:ind w:firstLine="480"/>
        <w:rPr>
          <w:rFonts w:ascii="宋体" w:hAnsi="宋体" w:cs="宋体"/>
          <w:color w:val="auto"/>
          <w:szCs w:val="24"/>
        </w:rPr>
      </w:pPr>
      <w:r>
        <w:rPr>
          <w:rFonts w:hint="eastAsia" w:ascii="宋体" w:hAnsi="宋体" w:cs="宋体"/>
          <w:color w:val="auto"/>
          <w:kern w:val="2"/>
          <w:szCs w:val="24"/>
        </w:rPr>
        <w:t>系统的架构和技术均符合高新技术的发展趋势，在满足功能的前提下，能够在今后一定时间内保持系统的先进性。</w:t>
      </w:r>
    </w:p>
    <w:p>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标准性</w:t>
      </w:r>
    </w:p>
    <w:p>
      <w:pPr>
        <w:ind w:firstLine="480"/>
        <w:rPr>
          <w:rFonts w:ascii="宋体" w:hAnsi="宋体" w:cs="宋体"/>
          <w:color w:val="FF0000"/>
          <w:szCs w:val="24"/>
        </w:rPr>
      </w:pPr>
      <w:r>
        <w:rPr>
          <w:rFonts w:hint="eastAsia" w:ascii="宋体" w:hAnsi="宋体" w:cs="宋体"/>
          <w:color w:val="auto"/>
          <w:kern w:val="2"/>
          <w:szCs w:val="24"/>
        </w:rPr>
        <w:t>系统的标准化程度越高、开放性越好，则系统的生命周期越长。控制协议、传输协议、接口协议、视音频编解码、视音频文件格式等需要符合相关国家标准或行业标准的规定。</w:t>
      </w:r>
    </w:p>
    <w:p>
      <w:pPr>
        <w:pStyle w:val="3"/>
        <w:spacing w:line="360" w:lineRule="auto"/>
        <w:rPr>
          <w:rFonts w:ascii="宋体" w:hAnsi="宋体" w:eastAsia="宋体" w:cs="宋体"/>
          <w:color w:val="auto"/>
        </w:rPr>
      </w:pPr>
      <w:r>
        <w:rPr>
          <w:rFonts w:hint="eastAsia" w:ascii="宋体" w:hAnsi="宋体" w:eastAsia="宋体" w:cs="宋体"/>
          <w:color w:val="auto"/>
        </w:rPr>
        <w:t>建设周期</w:t>
      </w:r>
    </w:p>
    <w:p>
      <w:pPr>
        <w:ind w:firstLine="480" w:firstLineChars="200"/>
        <w:rPr>
          <w:rFonts w:ascii="宋体" w:hAnsi="宋体" w:cs="宋体"/>
          <w:color w:val="FF0000"/>
        </w:rPr>
      </w:pPr>
      <w:r>
        <w:rPr>
          <w:rFonts w:hint="eastAsia" w:ascii="宋体" w:hAnsi="宋体" w:cs="宋体"/>
          <w:kern w:val="2"/>
          <w:szCs w:val="24"/>
          <w:u w:val="single"/>
        </w:rPr>
        <w:t>自合同签订之日起30日历天内</w:t>
      </w:r>
      <w:r>
        <w:rPr>
          <w:rFonts w:hint="eastAsia" w:ascii="宋体" w:hAnsi="宋体" w:cs="宋体"/>
        </w:rPr>
        <w:t>。</w:t>
      </w:r>
    </w:p>
    <w:p>
      <w:pPr>
        <w:pStyle w:val="2"/>
        <w:spacing w:line="360" w:lineRule="auto"/>
        <w:rPr>
          <w:rFonts w:ascii="宋体" w:hAnsi="宋体" w:cs="宋体"/>
          <w:color w:val="auto"/>
        </w:rPr>
      </w:pPr>
      <w:r>
        <w:rPr>
          <w:rFonts w:hint="eastAsia" w:ascii="宋体" w:hAnsi="宋体" w:cs="宋体"/>
          <w:color w:val="auto"/>
        </w:rPr>
        <w:t>总体要求</w:t>
      </w:r>
    </w:p>
    <w:p>
      <w:pPr>
        <w:pStyle w:val="3"/>
        <w:spacing w:line="360" w:lineRule="auto"/>
        <w:rPr>
          <w:rFonts w:ascii="宋体" w:hAnsi="宋体" w:eastAsia="宋体" w:cs="宋体"/>
          <w:color w:val="auto"/>
        </w:rPr>
      </w:pPr>
      <w:r>
        <w:rPr>
          <w:rFonts w:hint="eastAsia" w:ascii="宋体" w:hAnsi="宋体" w:eastAsia="宋体" w:cs="宋体"/>
          <w:color w:val="auto"/>
          <w:lang w:val="en-US" w:eastAsia="zh-CN"/>
        </w:rPr>
        <w:t>点位表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0"/>
        <w:gridCol w:w="3136"/>
        <w:gridCol w:w="1734"/>
        <w:gridCol w:w="1918"/>
        <w:gridCol w:w="1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序号</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安检机</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安检门</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新增/利旧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hint="eastAsia"/>
                <w:lang w:val="en-US" w:eastAsia="zh-CN" w:bidi="ar"/>
              </w:rPr>
              <w:t>一</w:t>
            </w:r>
            <w:r>
              <w:rPr>
                <w:rFonts w:hint="eastAsia" w:ascii="宋体" w:hAnsi="宋体" w:eastAsia="宋体" w:cs="宋体"/>
                <w:i w:val="0"/>
                <w:iCs w:val="0"/>
                <w:color w:val="000000"/>
                <w:kern w:val="0"/>
                <w:sz w:val="21"/>
                <w:szCs w:val="21"/>
                <w:u w:val="none"/>
                <w:lang w:val="en-US" w:eastAsia="zh-CN" w:bidi="ar"/>
              </w:rPr>
              <w:t>楼</w:t>
            </w:r>
            <w:r>
              <w:rPr>
                <w:rFonts w:hint="eastAsia" w:ascii="宋体" w:hAnsi="宋体" w:cs="宋体"/>
                <w:i w:val="0"/>
                <w:iCs w:val="0"/>
                <w:color w:val="000000"/>
                <w:kern w:val="0"/>
                <w:sz w:val="21"/>
                <w:szCs w:val="21"/>
                <w:u w:val="none"/>
                <w:lang w:val="en-US" w:eastAsia="zh-CN" w:bidi="ar"/>
              </w:rPr>
              <w:t>大厅</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利旧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2</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门诊负二楼出入口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3</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急诊出入口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4</w:t>
            </w:r>
          </w:p>
        </w:tc>
        <w:tc>
          <w:tcPr>
            <w:tcW w:w="1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住院楼出入口</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1（大口径）</w:t>
            </w:r>
          </w:p>
        </w:tc>
        <w:tc>
          <w:tcPr>
            <w:tcW w:w="9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Arial" w:hAnsi="Arial" w:cs="Arial"/>
                <w:i w:val="0"/>
                <w:iCs w:val="0"/>
                <w:color w:val="000000"/>
                <w:kern w:val="0"/>
                <w:sz w:val="20"/>
                <w:szCs w:val="20"/>
                <w:u w:val="none"/>
                <w:lang w:val="en-US" w:eastAsia="zh-CN" w:bidi="ar"/>
              </w:rPr>
              <w:t>1</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cs="宋体"/>
                <w:i w:val="0"/>
                <w:iCs w:val="0"/>
                <w:color w:val="000000"/>
                <w:sz w:val="20"/>
                <w:szCs w:val="20"/>
                <w:u w:val="none"/>
                <w:lang w:val="en-US" w:eastAsia="zh-CN"/>
              </w:rPr>
              <w:t>新增</w:t>
            </w:r>
          </w:p>
        </w:tc>
      </w:tr>
    </w:tbl>
    <w:p>
      <w:pPr>
        <w:pStyle w:val="4"/>
        <w:ind w:left="0" w:leftChars="0" w:firstLine="0" w:firstLineChars="0"/>
        <w:rPr>
          <w:color w:val="auto"/>
        </w:rPr>
      </w:pPr>
    </w:p>
    <w:p>
      <w:pPr>
        <w:pStyle w:val="3"/>
        <w:spacing w:line="360" w:lineRule="auto"/>
        <w:rPr>
          <w:rFonts w:ascii="宋体" w:hAnsi="宋体" w:eastAsia="宋体" w:cs="宋体"/>
          <w:color w:val="auto"/>
        </w:rPr>
      </w:pPr>
      <w:r>
        <w:rPr>
          <w:rFonts w:hint="eastAsia" w:ascii="宋体" w:hAnsi="宋体" w:eastAsia="宋体" w:cs="宋体"/>
          <w:color w:val="auto"/>
        </w:rPr>
        <w:t>建设内容</w:t>
      </w:r>
    </w:p>
    <w:p>
      <w:pPr>
        <w:pStyle w:val="5"/>
        <w:bidi w:val="0"/>
        <w:rPr>
          <w:color w:val="auto"/>
        </w:rPr>
      </w:pPr>
      <w:r>
        <w:rPr>
          <w:rFonts w:hint="eastAsia"/>
          <w:color w:val="auto"/>
          <w:lang w:val="en-US" w:eastAsia="zh-CN"/>
        </w:rPr>
        <w:t>门诊大厅</w:t>
      </w:r>
    </w:p>
    <w:p>
      <w:pPr>
        <w:pStyle w:val="38"/>
        <w:numPr>
          <w:ilvl w:val="0"/>
          <w:numId w:val="4"/>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在门诊楼入口内侧安装安检门（利旧）；</w:t>
      </w:r>
    </w:p>
    <w:p>
      <w:pPr>
        <w:pStyle w:val="38"/>
        <w:numPr>
          <w:ilvl w:val="0"/>
          <w:numId w:val="4"/>
        </w:numPr>
        <w:spacing w:line="360" w:lineRule="auto"/>
        <w:ind w:left="420" w:leftChars="0" w:hanging="42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t>在门诊楼入口内侧安装安检机（利旧）；</w:t>
      </w:r>
    </w:p>
    <w:p>
      <w:pPr>
        <w:pStyle w:val="5"/>
        <w:bidi w:val="0"/>
        <w:rPr>
          <w:rFonts w:hint="eastAsia"/>
          <w:color w:val="auto"/>
          <w:lang w:val="en-US" w:eastAsia="zh-CN"/>
        </w:rPr>
      </w:pPr>
      <w:r>
        <w:rPr>
          <w:rFonts w:hint="eastAsia"/>
          <w:color w:val="auto"/>
          <w:lang w:val="en-US" w:eastAsia="zh-CN"/>
        </w:rPr>
        <w:t>门诊负二楼出入口</w:t>
      </w:r>
    </w:p>
    <w:p>
      <w:pPr>
        <w:pStyle w:val="4"/>
        <w:numPr>
          <w:ilvl w:val="0"/>
          <w:numId w:val="5"/>
        </w:numPr>
        <w:ind w:left="420" w:leftChars="0" w:hanging="420" w:firstLineChars="0"/>
        <w:rPr>
          <w:rFonts w:hint="eastAsia"/>
          <w:color w:val="auto"/>
          <w:lang w:val="en-US" w:eastAsia="zh-CN"/>
        </w:rPr>
      </w:pPr>
      <w:r>
        <w:rPr>
          <w:rFonts w:hint="eastAsia"/>
          <w:color w:val="auto"/>
          <w:lang w:val="en-US" w:eastAsia="zh-CN"/>
        </w:rPr>
        <w:t>在门诊楼入口外侧安装安检门（新增）；</w:t>
      </w:r>
    </w:p>
    <w:p>
      <w:pPr>
        <w:pStyle w:val="4"/>
        <w:numPr>
          <w:ilvl w:val="0"/>
          <w:numId w:val="5"/>
        </w:numPr>
        <w:ind w:left="420" w:leftChars="0" w:hanging="420" w:firstLineChars="0"/>
        <w:rPr>
          <w:rFonts w:hint="eastAsia"/>
          <w:color w:val="auto"/>
          <w:lang w:val="en-US" w:eastAsia="zh-CN"/>
        </w:rPr>
      </w:pPr>
      <w:r>
        <w:rPr>
          <w:rFonts w:hint="eastAsia"/>
          <w:color w:val="auto"/>
          <w:lang w:val="en-US" w:eastAsia="zh-CN"/>
        </w:rPr>
        <w:t>在门诊楼入口外侧安装安检机（新增）；</w:t>
      </w:r>
    </w:p>
    <w:p>
      <w:pPr>
        <w:pStyle w:val="5"/>
        <w:bidi w:val="0"/>
        <w:rPr>
          <w:rFonts w:hint="eastAsia"/>
          <w:color w:val="auto"/>
          <w:lang w:val="en-US" w:eastAsia="zh-CN"/>
        </w:rPr>
      </w:pPr>
      <w:r>
        <w:rPr>
          <w:rFonts w:hint="eastAsia"/>
          <w:color w:val="auto"/>
          <w:lang w:val="en-US" w:eastAsia="zh-CN"/>
        </w:rPr>
        <w:t>急诊出入口</w:t>
      </w:r>
    </w:p>
    <w:p>
      <w:pPr>
        <w:pStyle w:val="4"/>
        <w:numPr>
          <w:ilvl w:val="0"/>
          <w:numId w:val="6"/>
        </w:numPr>
        <w:ind w:left="420" w:leftChars="0" w:hanging="420" w:firstLineChars="0"/>
        <w:rPr>
          <w:rFonts w:hint="eastAsia" w:eastAsia="宋体"/>
          <w:color w:val="auto"/>
          <w:lang w:eastAsia="zh-CN"/>
        </w:rPr>
      </w:pPr>
      <w:r>
        <w:rPr>
          <w:rFonts w:hint="eastAsia" w:eastAsia="宋体"/>
          <w:color w:val="auto"/>
          <w:lang w:eastAsia="zh-CN"/>
        </w:rPr>
        <w:t>在急诊入口外侧安装安检门（新增）；</w:t>
      </w:r>
    </w:p>
    <w:p>
      <w:pPr>
        <w:pStyle w:val="4"/>
        <w:numPr>
          <w:ilvl w:val="0"/>
          <w:numId w:val="6"/>
        </w:numPr>
        <w:ind w:left="420" w:leftChars="0" w:hanging="420" w:firstLineChars="0"/>
        <w:rPr>
          <w:rFonts w:hint="eastAsia" w:eastAsia="宋体"/>
          <w:color w:val="auto"/>
          <w:lang w:eastAsia="zh-CN"/>
        </w:rPr>
      </w:pPr>
      <w:r>
        <w:rPr>
          <w:rFonts w:hint="eastAsia" w:eastAsia="宋体"/>
          <w:color w:val="auto"/>
          <w:lang w:eastAsia="zh-CN"/>
        </w:rPr>
        <w:t>在急诊入口外侧安装安检机（新增）；</w:t>
      </w:r>
    </w:p>
    <w:p>
      <w:pPr>
        <w:pStyle w:val="5"/>
        <w:bidi w:val="0"/>
        <w:rPr>
          <w:rFonts w:hint="eastAsia"/>
          <w:color w:val="auto"/>
          <w:lang w:val="en-US" w:eastAsia="zh-CN"/>
        </w:rPr>
      </w:pPr>
      <w:r>
        <w:rPr>
          <w:rFonts w:hint="eastAsia"/>
          <w:color w:val="auto"/>
          <w:lang w:val="en-US" w:eastAsia="zh-CN"/>
        </w:rPr>
        <w:t>住院楼出入口</w:t>
      </w:r>
    </w:p>
    <w:p>
      <w:pPr>
        <w:pStyle w:val="38"/>
        <w:numPr>
          <w:ilvl w:val="0"/>
          <w:numId w:val="7"/>
        </w:numPr>
        <w:spacing w:line="360" w:lineRule="auto"/>
        <w:ind w:left="420" w:leftChars="0" w:hanging="420" w:firstLineChars="0"/>
        <w:rPr>
          <w:rFonts w:hint="eastAsia" w:eastAsia="宋体"/>
          <w:color w:val="auto"/>
          <w:lang w:eastAsia="zh-CN"/>
        </w:rPr>
      </w:pPr>
      <w:r>
        <w:rPr>
          <w:rFonts w:hint="eastAsia" w:eastAsia="宋体"/>
          <w:color w:val="auto"/>
          <w:lang w:eastAsia="zh-CN"/>
        </w:rPr>
        <w:t>在住院楼入口内侧安装安检门（新增）；</w:t>
      </w:r>
    </w:p>
    <w:p>
      <w:pPr>
        <w:pStyle w:val="38"/>
        <w:numPr>
          <w:ilvl w:val="0"/>
          <w:numId w:val="7"/>
        </w:numPr>
        <w:spacing w:line="360" w:lineRule="auto"/>
        <w:ind w:left="420" w:leftChars="0" w:hanging="420" w:firstLineChars="0"/>
        <w:rPr>
          <w:rFonts w:hint="eastAsia" w:eastAsia="宋体"/>
          <w:color w:val="auto"/>
          <w:lang w:eastAsia="zh-CN"/>
        </w:rPr>
      </w:pPr>
      <w:r>
        <w:rPr>
          <w:rFonts w:hint="eastAsia" w:eastAsia="宋体"/>
          <w:color w:val="auto"/>
          <w:lang w:eastAsia="zh-CN"/>
        </w:rPr>
        <w:t>在住院楼入口内侧安装安检机，住院部考虑大件行李通过，使用</w:t>
      </w:r>
      <w:r>
        <w:rPr>
          <w:rFonts w:hint="eastAsia"/>
          <w:color w:val="auto"/>
          <w:lang w:val="en-US" w:eastAsia="zh-CN"/>
        </w:rPr>
        <w:t>大</w:t>
      </w:r>
      <w:r>
        <w:rPr>
          <w:rFonts w:hint="eastAsia" w:eastAsia="宋体"/>
          <w:color w:val="auto"/>
          <w:lang w:eastAsia="zh-CN"/>
        </w:rPr>
        <w:t>通道口径设备（新增）</w:t>
      </w:r>
    </w:p>
    <w:p>
      <w:pPr>
        <w:pStyle w:val="14"/>
        <w:jc w:val="center"/>
        <w:rPr>
          <w:rFonts w:ascii="宋体" w:hAnsi="宋体" w:cs="宋体"/>
          <w:color w:val="FF0000"/>
        </w:rPr>
      </w:pPr>
    </w:p>
    <w:p>
      <w:pPr>
        <w:pStyle w:val="14"/>
        <w:ind w:firstLine="480" w:firstLineChars="200"/>
        <w:rPr>
          <w:rFonts w:ascii="宋体" w:hAnsi="宋体" w:cs="宋体"/>
          <w:color w:val="FF0000"/>
          <w:kern w:val="2"/>
          <w:sz w:val="24"/>
          <w:szCs w:val="24"/>
        </w:rPr>
        <w:sectPr>
          <w:headerReference r:id="rId5" w:type="default"/>
          <w:footerReference r:id="rId6" w:type="default"/>
          <w:pgSz w:w="11906" w:h="16838"/>
          <w:pgMar w:top="1134" w:right="1134" w:bottom="1134" w:left="1134" w:header="851" w:footer="992" w:gutter="0"/>
          <w:cols w:space="425" w:num="1"/>
          <w:docGrid w:type="lines" w:linePitch="312" w:charSpace="0"/>
        </w:sectPr>
      </w:pPr>
    </w:p>
    <w:p>
      <w:pPr>
        <w:pStyle w:val="2"/>
        <w:spacing w:line="360" w:lineRule="auto"/>
        <w:rPr>
          <w:rFonts w:ascii="宋体" w:hAnsi="宋体" w:cs="宋体"/>
        </w:rPr>
      </w:pPr>
      <w:r>
        <w:rPr>
          <w:rFonts w:hint="eastAsia" w:ascii="宋体" w:hAnsi="宋体" w:cs="宋体"/>
        </w:rPr>
        <w:t>设备及材料</w:t>
      </w:r>
    </w:p>
    <w:p>
      <w:pPr>
        <w:pStyle w:val="3"/>
        <w:spacing w:line="360" w:lineRule="auto"/>
        <w:rPr>
          <w:rFonts w:ascii="宋体" w:hAnsi="宋体" w:eastAsia="宋体" w:cs="宋体"/>
        </w:rPr>
      </w:pPr>
      <w:r>
        <w:rPr>
          <w:rFonts w:hint="eastAsia" w:ascii="宋体" w:hAnsi="宋体" w:eastAsia="宋体" w:cs="宋体"/>
        </w:rPr>
        <w:t>★配置清单（以下项目需分项报价）</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8"/>
        <w:gridCol w:w="1438"/>
        <w:gridCol w:w="3579"/>
        <w:gridCol w:w="966"/>
        <w:gridCol w:w="966"/>
        <w:gridCol w:w="966"/>
        <w:gridCol w:w="9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需求内容</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基本需求描述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单价/万元</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总价/万元</w:t>
            </w:r>
            <w:bookmarkStart w:id="9" w:name="_GoBack"/>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1</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安检X光机</w:t>
            </w:r>
            <w:r>
              <w:rPr>
                <w:rFonts w:hint="eastAsia" w:ascii="宋体" w:hAnsi="宋体" w:cs="宋体"/>
                <w:i w:val="0"/>
                <w:iCs w:val="0"/>
                <w:color w:val="000000"/>
                <w:kern w:val="0"/>
                <w:sz w:val="21"/>
                <w:szCs w:val="21"/>
                <w:u w:val="none"/>
                <w:lang w:val="en-US" w:eastAsia="zh-CN" w:bidi="ar"/>
              </w:rPr>
              <w:t>（新增）</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1.通道尺寸：达到或优于500mm*300mm；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2.安装方式：落地式。</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2</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安检X光机</w:t>
            </w:r>
            <w:r>
              <w:rPr>
                <w:rFonts w:hint="eastAsia" w:ascii="宋体" w:hAnsi="宋体" w:cs="宋体"/>
                <w:i w:val="0"/>
                <w:iCs w:val="0"/>
                <w:color w:val="000000"/>
                <w:kern w:val="0"/>
                <w:sz w:val="21"/>
                <w:szCs w:val="21"/>
                <w:u w:val="none"/>
                <w:lang w:val="en-US" w:eastAsia="zh-CN" w:bidi="ar"/>
              </w:rPr>
              <w:t>（新增）</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1.通道尺寸：达到或优于800mm*600mm；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2.安装方式：落地式。</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eastAsia" w:ascii="Calibri" w:hAnsi="Calibri" w:cs="Calibri"/>
                <w:i w:val="0"/>
                <w:iCs w:val="0"/>
                <w:color w:val="000000"/>
                <w:kern w:val="0"/>
                <w:sz w:val="21"/>
                <w:szCs w:val="21"/>
                <w:u w:val="none"/>
                <w:lang w:val="en-US" w:eastAsia="zh-CN" w:bidi="ar"/>
              </w:rPr>
              <w:t>3</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安检门</w:t>
            </w:r>
            <w:r>
              <w:rPr>
                <w:rFonts w:hint="eastAsia" w:ascii="宋体" w:hAnsi="宋体" w:cs="宋体"/>
                <w:i w:val="0"/>
                <w:iCs w:val="0"/>
                <w:color w:val="000000"/>
                <w:kern w:val="0"/>
                <w:sz w:val="21"/>
                <w:szCs w:val="21"/>
                <w:u w:val="none"/>
                <w:lang w:val="en-US" w:eastAsia="zh-CN" w:bidi="ar"/>
              </w:rPr>
              <w:t>（新增）</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1.信息显示：达到或优于3.5寸液晶显示屏，18区人形报警指示灯，可精准显示金属探测位置；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2.金属检测：达到或优于最高灵敏度可检测到一枚回形针，有效进行违规物品核验。</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cs="Calibri"/>
                <w:i w:val="0"/>
                <w:iCs w:val="0"/>
                <w:color w:val="000000"/>
                <w:kern w:val="0"/>
                <w:sz w:val="21"/>
                <w:szCs w:val="21"/>
                <w:u w:val="none"/>
                <w:lang w:val="en-US" w:eastAsia="zh-CN" w:bidi="ar"/>
              </w:rPr>
            </w:pPr>
            <w:r>
              <w:rPr>
                <w:rFonts w:hint="eastAsia" w:ascii="Calibri" w:hAnsi="Calibri" w:cs="Calibri"/>
                <w:i w:val="0"/>
                <w:iCs w:val="0"/>
                <w:color w:val="000000"/>
                <w:kern w:val="0"/>
                <w:sz w:val="21"/>
                <w:szCs w:val="21"/>
                <w:u w:val="none"/>
                <w:lang w:val="en-US" w:eastAsia="zh-CN" w:bidi="ar"/>
              </w:rPr>
              <w:t>4</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安检X光机和安检门（利旧）</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1.调整安装位置（拆装）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alibri" w:hAnsi="Calibri" w:cs="Calibri"/>
                <w:i w:val="0"/>
                <w:iCs w:val="0"/>
                <w:color w:val="000000"/>
                <w:kern w:val="0"/>
                <w:sz w:val="21"/>
                <w:szCs w:val="21"/>
                <w:u w:val="none"/>
                <w:lang w:val="en-US" w:eastAsia="zh-CN" w:bidi="ar"/>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总价</w:t>
            </w:r>
          </w:p>
        </w:tc>
        <w:tc>
          <w:tcPr>
            <w:tcW w:w="18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p>
        </w:tc>
      </w:tr>
    </w:tbl>
    <w:p>
      <w:pPr>
        <w:tabs>
          <w:tab w:val="left" w:pos="540"/>
        </w:tabs>
        <w:autoSpaceDE/>
        <w:autoSpaceDN/>
        <w:snapToGrid w:val="0"/>
        <w:jc w:val="both"/>
        <w:rPr>
          <w:rFonts w:ascii="宋体" w:hAnsi="宋体" w:cs="宋体"/>
          <w:b/>
          <w:color w:val="000000"/>
          <w:szCs w:val="24"/>
        </w:rPr>
      </w:pPr>
    </w:p>
    <w:p>
      <w:pPr>
        <w:pStyle w:val="2"/>
        <w:spacing w:line="360" w:lineRule="auto"/>
        <w:rPr>
          <w:rFonts w:ascii="宋体" w:hAnsi="宋体" w:cs="宋体"/>
        </w:rPr>
      </w:pPr>
      <w:r>
        <w:rPr>
          <w:rFonts w:hint="eastAsia" w:ascii="宋体" w:hAnsi="宋体" w:cs="宋体"/>
        </w:rPr>
        <w:t>技术参数要求</w:t>
      </w:r>
    </w:p>
    <w:p>
      <w:pPr>
        <w:pStyle w:val="3"/>
        <w:rPr>
          <w:rFonts w:ascii="宋体" w:hAnsi="宋体" w:eastAsia="宋体" w:cs="宋体"/>
          <w:color w:val="auto"/>
        </w:rPr>
      </w:pPr>
      <w:r>
        <w:rPr>
          <w:rFonts w:hint="eastAsia" w:ascii="宋体" w:hAnsi="宋体" w:eastAsia="宋体" w:cs="宋体"/>
          <w:color w:val="auto"/>
        </w:rPr>
        <w:t>智能X射线检查系统（</w:t>
      </w:r>
      <w:r>
        <w:rPr>
          <w:rFonts w:hint="eastAsia" w:ascii="宋体" w:hAnsi="宋体" w:eastAsia="宋体" w:cs="宋体"/>
          <w:color w:val="auto"/>
          <w:lang w:val="en-US" w:eastAsia="zh-CN"/>
        </w:rPr>
        <w:t>A款</w:t>
      </w:r>
      <w:r>
        <w:rPr>
          <w:rFonts w:hint="eastAsia" w:ascii="宋体" w:hAnsi="宋体" w:eastAsia="宋体" w:cs="宋体"/>
          <w:color w:val="auto"/>
        </w:rPr>
        <w:t>）</w:t>
      </w:r>
    </w:p>
    <w:p>
      <w:pPr>
        <w:numPr>
          <w:ilvl w:val="0"/>
          <w:numId w:val="8"/>
        </w:numPr>
        <w:ind w:firstLine="480" w:firstLineChars="200"/>
        <w:rPr>
          <w:rFonts w:hint="eastAsia" w:ascii="宋体" w:hAnsi="宋体" w:cs="宋体"/>
          <w:color w:val="auto"/>
        </w:rPr>
      </w:pPr>
      <w:r>
        <w:rPr>
          <w:rFonts w:hint="eastAsia" w:ascii="宋体" w:hAnsi="宋体" w:cs="宋体"/>
          <w:color w:val="auto"/>
        </w:rPr>
        <w:t>通道尺寸：</w:t>
      </w:r>
      <w:r>
        <w:rPr>
          <w:rFonts w:hint="eastAsia" w:ascii="宋体" w:hAnsi="宋体" w:cs="宋体"/>
          <w:color w:val="auto"/>
          <w:lang w:val="en-US" w:eastAsia="zh-CN"/>
        </w:rPr>
        <w:t>≥</w:t>
      </w:r>
      <w:r>
        <w:rPr>
          <w:rFonts w:hint="eastAsia" w:ascii="宋体" w:hAnsi="宋体" w:cs="宋体"/>
          <w:color w:val="auto"/>
        </w:rPr>
        <w:t>500mm*300mm</w:t>
      </w:r>
    </w:p>
    <w:p>
      <w:pPr>
        <w:numPr>
          <w:ilvl w:val="0"/>
          <w:numId w:val="8"/>
        </w:numPr>
        <w:ind w:firstLine="480" w:firstLineChars="200"/>
        <w:rPr>
          <w:rFonts w:hint="eastAsia" w:ascii="宋体" w:hAnsi="宋体" w:cs="宋体"/>
          <w:color w:val="auto"/>
        </w:rPr>
      </w:pPr>
      <w:r>
        <w:rPr>
          <w:rFonts w:hint="eastAsia" w:ascii="宋体" w:hAnsi="宋体" w:cs="宋体"/>
          <w:color w:val="auto"/>
        </w:rPr>
        <w:t>操作系统：嵌入式Linux操作系统；</w:t>
      </w:r>
    </w:p>
    <w:p>
      <w:pPr>
        <w:numPr>
          <w:ilvl w:val="0"/>
          <w:numId w:val="8"/>
        </w:numPr>
        <w:ind w:firstLine="480" w:firstLineChars="200"/>
        <w:rPr>
          <w:rFonts w:hint="eastAsia" w:ascii="宋体" w:hAnsi="宋体" w:cs="宋体"/>
          <w:color w:val="auto"/>
        </w:rPr>
      </w:pPr>
      <w:r>
        <w:rPr>
          <w:rFonts w:hint="eastAsia" w:ascii="宋体" w:hAnsi="宋体" w:cs="宋体"/>
          <w:color w:val="auto"/>
        </w:rPr>
        <w:t>录像模式：最大支持4路网络视频，录像计划(连续录像, 事件联动录像,不录像)，手动录像；</w:t>
      </w:r>
    </w:p>
    <w:p>
      <w:pPr>
        <w:numPr>
          <w:ilvl w:val="0"/>
          <w:numId w:val="8"/>
        </w:numPr>
        <w:ind w:firstLine="480" w:firstLineChars="200"/>
        <w:rPr>
          <w:rFonts w:hint="eastAsia" w:ascii="宋体" w:hAnsi="宋体" w:cs="宋体"/>
          <w:color w:val="auto"/>
        </w:rPr>
      </w:pPr>
      <w:r>
        <w:rPr>
          <w:rFonts w:hint="eastAsia" w:ascii="宋体" w:hAnsi="宋体" w:cs="宋体"/>
          <w:color w:val="auto"/>
        </w:rPr>
        <w:t>工作湿度：0%～95%；</w:t>
      </w:r>
    </w:p>
    <w:p>
      <w:pPr>
        <w:numPr>
          <w:ilvl w:val="0"/>
          <w:numId w:val="8"/>
        </w:numPr>
        <w:ind w:firstLine="480" w:firstLineChars="200"/>
        <w:rPr>
          <w:rFonts w:hint="eastAsia" w:ascii="宋体" w:hAnsi="宋体" w:cs="宋体"/>
          <w:color w:val="auto"/>
        </w:rPr>
      </w:pPr>
      <w:r>
        <w:rPr>
          <w:rFonts w:hint="eastAsia" w:ascii="宋体" w:hAnsi="宋体" w:cs="宋体"/>
          <w:color w:val="auto"/>
        </w:rPr>
        <w:t>工作温度：0℃～+45℃(32℉～+113℉)；</w:t>
      </w:r>
    </w:p>
    <w:p>
      <w:pPr>
        <w:numPr>
          <w:ilvl w:val="0"/>
          <w:numId w:val="8"/>
        </w:numPr>
        <w:ind w:firstLine="480" w:firstLineChars="200"/>
        <w:rPr>
          <w:rFonts w:hint="eastAsia" w:ascii="宋体" w:hAnsi="宋体" w:cs="宋体"/>
          <w:color w:val="auto"/>
        </w:rPr>
      </w:pPr>
      <w:r>
        <w:rPr>
          <w:rFonts w:hint="eastAsia" w:ascii="宋体" w:hAnsi="宋体" w:cs="宋体"/>
          <w:color w:val="auto"/>
        </w:rPr>
        <w:t>视频输出：1路HWID视频异源输出每路分辨率最大支持1920*1080@60Hz；</w:t>
      </w:r>
    </w:p>
    <w:p>
      <w:pPr>
        <w:numPr>
          <w:ilvl w:val="0"/>
          <w:numId w:val="8"/>
        </w:numPr>
        <w:ind w:firstLine="480" w:firstLineChars="200"/>
        <w:rPr>
          <w:rFonts w:hint="eastAsia" w:ascii="宋体" w:hAnsi="宋体" w:cs="宋体"/>
          <w:color w:val="auto"/>
        </w:rPr>
      </w:pPr>
      <w:r>
        <w:rPr>
          <w:rFonts w:hint="eastAsia" w:ascii="宋体" w:hAnsi="宋体" w:cs="宋体"/>
          <w:color w:val="auto"/>
        </w:rPr>
        <w:t>视频输入（网络）：</w:t>
      </w:r>
      <w:r>
        <w:rPr>
          <w:rFonts w:hint="eastAsia" w:ascii="宋体" w:hAnsi="宋体" w:cs="宋体"/>
          <w:color w:val="auto"/>
          <w:lang w:val="en-US" w:eastAsia="zh-CN"/>
        </w:rPr>
        <w:t>≥</w:t>
      </w:r>
      <w:r>
        <w:rPr>
          <w:rFonts w:hint="eastAsia" w:ascii="宋体" w:hAnsi="宋体" w:cs="宋体"/>
          <w:color w:val="auto"/>
        </w:rPr>
        <w:t>4路视频接入，4路IPC；默认连接2个IPC；</w:t>
      </w:r>
    </w:p>
    <w:p>
      <w:pPr>
        <w:numPr>
          <w:ilvl w:val="0"/>
          <w:numId w:val="8"/>
        </w:numPr>
        <w:ind w:firstLine="480" w:firstLineChars="200"/>
        <w:rPr>
          <w:rFonts w:hint="eastAsia" w:ascii="宋体" w:hAnsi="宋体" w:cs="宋体"/>
          <w:color w:val="auto"/>
        </w:rPr>
      </w:pPr>
      <w:r>
        <w:rPr>
          <w:rFonts w:hint="eastAsia" w:ascii="宋体" w:hAnsi="宋体" w:cs="宋体"/>
          <w:color w:val="auto"/>
        </w:rPr>
        <w:t>最大支持4K视频流，支持H.265/H.264/MJPEG/MPEG4类型编码；</w:t>
      </w:r>
    </w:p>
    <w:p>
      <w:pPr>
        <w:numPr>
          <w:ilvl w:val="0"/>
          <w:numId w:val="8"/>
        </w:numPr>
        <w:ind w:firstLine="480" w:firstLineChars="200"/>
        <w:rPr>
          <w:rFonts w:hint="eastAsia" w:ascii="宋体" w:hAnsi="宋体" w:cs="宋体"/>
          <w:color w:val="auto"/>
        </w:rPr>
      </w:pPr>
      <w:r>
        <w:rPr>
          <w:rFonts w:hint="eastAsia" w:ascii="宋体" w:hAnsi="宋体" w:cs="宋体"/>
          <w:color w:val="auto"/>
        </w:rPr>
        <w:t>网络协议：IPSearch(SupportDahuaIPcamera,DVR,etc.)；IPFilter；DNS；DHCP；NTP；UDP；RTSP；IPv4；TCP/IP；HTTPS；HTTP；</w:t>
      </w:r>
    </w:p>
    <w:p>
      <w:pPr>
        <w:numPr>
          <w:ilvl w:val="0"/>
          <w:numId w:val="8"/>
        </w:numPr>
        <w:ind w:firstLine="480" w:firstLineChars="200"/>
        <w:rPr>
          <w:rFonts w:hint="eastAsia" w:ascii="宋体" w:hAnsi="宋体" w:cs="宋体"/>
          <w:color w:val="auto"/>
        </w:rPr>
      </w:pPr>
      <w:r>
        <w:rPr>
          <w:rFonts w:hint="eastAsia" w:ascii="宋体" w:hAnsi="宋体" w:cs="宋体"/>
          <w:color w:val="auto"/>
        </w:rPr>
        <w:t>主处理器：</w:t>
      </w:r>
      <w:r>
        <w:rPr>
          <w:rFonts w:hint="eastAsia" w:ascii="宋体" w:hAnsi="宋体" w:cs="宋体"/>
          <w:color w:val="auto"/>
          <w:lang w:val="en-US" w:eastAsia="zh-CN"/>
        </w:rPr>
        <w:t>达到或优于</w:t>
      </w:r>
      <w:r>
        <w:rPr>
          <w:rFonts w:hint="eastAsia" w:ascii="宋体" w:hAnsi="宋体" w:cs="宋体"/>
          <w:color w:val="auto"/>
        </w:rPr>
        <w:t>四核处理器；</w:t>
      </w:r>
    </w:p>
    <w:p>
      <w:pPr>
        <w:numPr>
          <w:ilvl w:val="0"/>
          <w:numId w:val="8"/>
        </w:numPr>
        <w:ind w:firstLine="480" w:firstLineChars="200"/>
        <w:rPr>
          <w:rFonts w:hint="eastAsia" w:ascii="宋体" w:hAnsi="宋体" w:cs="宋体"/>
          <w:color w:val="auto"/>
        </w:rPr>
      </w:pPr>
      <w:r>
        <w:rPr>
          <w:rFonts w:hint="eastAsia" w:ascii="宋体" w:hAnsi="宋体" w:cs="宋体"/>
          <w:color w:val="auto"/>
        </w:rPr>
        <w:t>报警输出：</w:t>
      </w:r>
      <w:r>
        <w:rPr>
          <w:rFonts w:hint="eastAsia" w:ascii="宋体" w:hAnsi="宋体" w:cs="宋体"/>
          <w:color w:val="auto"/>
          <w:lang w:val="en-US" w:eastAsia="zh-CN"/>
        </w:rPr>
        <w:t>≥</w:t>
      </w:r>
      <w:r>
        <w:rPr>
          <w:rFonts w:hint="eastAsia" w:ascii="宋体" w:hAnsi="宋体" w:cs="宋体"/>
          <w:color w:val="auto"/>
        </w:rPr>
        <w:t>1路报警输出；</w:t>
      </w:r>
    </w:p>
    <w:p>
      <w:pPr>
        <w:numPr>
          <w:ilvl w:val="0"/>
          <w:numId w:val="8"/>
        </w:numPr>
        <w:ind w:firstLine="480" w:firstLineChars="200"/>
        <w:rPr>
          <w:rFonts w:hint="eastAsia" w:ascii="宋体" w:hAnsi="宋体" w:cs="宋体"/>
          <w:color w:val="auto"/>
        </w:rPr>
      </w:pPr>
      <w:r>
        <w:rPr>
          <w:rFonts w:hint="eastAsia" w:ascii="宋体" w:hAnsi="宋体" w:cs="宋体"/>
          <w:color w:val="auto"/>
        </w:rPr>
        <w:t>线分辨力：</w:t>
      </w:r>
      <w:r>
        <w:rPr>
          <w:rFonts w:hint="eastAsia" w:ascii="宋体" w:hAnsi="宋体" w:cs="宋体"/>
          <w:color w:val="auto"/>
          <w:lang w:val="en-US" w:eastAsia="zh-CN"/>
        </w:rPr>
        <w:t>达到或优于</w:t>
      </w:r>
      <w:r>
        <w:rPr>
          <w:rFonts w:hint="eastAsia" w:ascii="宋体" w:hAnsi="宋体" w:cs="宋体"/>
          <w:color w:val="auto"/>
        </w:rPr>
        <w:t>38AWG（0.102mm）；</w:t>
      </w:r>
    </w:p>
    <w:p>
      <w:pPr>
        <w:numPr>
          <w:ilvl w:val="0"/>
          <w:numId w:val="8"/>
        </w:numPr>
        <w:ind w:firstLine="480" w:firstLineChars="200"/>
        <w:rPr>
          <w:rFonts w:hint="eastAsia" w:ascii="宋体" w:hAnsi="宋体" w:cs="宋体"/>
          <w:color w:val="auto"/>
        </w:rPr>
      </w:pPr>
      <w:r>
        <w:rPr>
          <w:rFonts w:hint="eastAsia" w:ascii="宋体" w:hAnsi="宋体" w:cs="宋体"/>
          <w:color w:val="auto"/>
        </w:rPr>
        <w:t>穿透分辨力：</w:t>
      </w:r>
      <w:r>
        <w:rPr>
          <w:rFonts w:hint="eastAsia" w:ascii="宋体" w:hAnsi="宋体" w:cs="宋体"/>
          <w:color w:val="auto"/>
          <w:lang w:val="en-US" w:eastAsia="zh-CN"/>
        </w:rPr>
        <w:t>达到或优于</w:t>
      </w:r>
      <w:r>
        <w:rPr>
          <w:rFonts w:hint="eastAsia" w:ascii="宋体" w:hAnsi="宋体" w:cs="宋体"/>
          <w:color w:val="auto"/>
        </w:rPr>
        <w:t>34AWG；</w:t>
      </w:r>
    </w:p>
    <w:p>
      <w:pPr>
        <w:numPr>
          <w:ilvl w:val="0"/>
          <w:numId w:val="8"/>
        </w:numPr>
        <w:ind w:firstLine="480" w:firstLineChars="200"/>
        <w:rPr>
          <w:rFonts w:hint="eastAsia" w:ascii="宋体" w:hAnsi="宋体" w:cs="宋体"/>
          <w:color w:val="auto"/>
        </w:rPr>
      </w:pPr>
      <w:r>
        <w:rPr>
          <w:rFonts w:hint="eastAsia" w:ascii="宋体" w:hAnsi="宋体" w:cs="宋体"/>
          <w:color w:val="auto"/>
        </w:rPr>
        <w:t>空间分辨力：垂直：</w:t>
      </w:r>
      <w:r>
        <w:rPr>
          <w:rFonts w:hint="eastAsia" w:ascii="宋体" w:hAnsi="宋体" w:cs="宋体"/>
          <w:color w:val="auto"/>
          <w:lang w:val="en-US" w:eastAsia="zh-CN"/>
        </w:rPr>
        <w:t>达到或优于</w:t>
      </w:r>
      <w:r>
        <w:rPr>
          <w:rFonts w:hint="eastAsia" w:ascii="宋体" w:hAnsi="宋体" w:cs="宋体"/>
          <w:color w:val="auto"/>
        </w:rPr>
        <w:t>1.0mm水平：</w:t>
      </w:r>
      <w:r>
        <w:rPr>
          <w:rFonts w:hint="eastAsia" w:ascii="宋体" w:hAnsi="宋体" w:cs="宋体"/>
          <w:color w:val="auto"/>
          <w:lang w:val="en-US" w:eastAsia="zh-CN"/>
        </w:rPr>
        <w:t>达到或优于</w:t>
      </w:r>
      <w:r>
        <w:rPr>
          <w:rFonts w:hint="eastAsia" w:ascii="宋体" w:hAnsi="宋体" w:cs="宋体"/>
          <w:color w:val="auto"/>
        </w:rPr>
        <w:t>1.0mm；</w:t>
      </w:r>
    </w:p>
    <w:p>
      <w:pPr>
        <w:numPr>
          <w:ilvl w:val="0"/>
          <w:numId w:val="8"/>
        </w:numPr>
        <w:ind w:firstLine="480" w:firstLineChars="200"/>
        <w:rPr>
          <w:rFonts w:hint="eastAsia" w:ascii="宋体" w:hAnsi="宋体" w:cs="宋体"/>
          <w:color w:val="auto"/>
        </w:rPr>
      </w:pPr>
      <w:r>
        <w:rPr>
          <w:rFonts w:hint="eastAsia" w:ascii="宋体" w:hAnsi="宋体" w:cs="宋体"/>
          <w:color w:val="auto"/>
        </w:rPr>
        <w:t>穿透力：</w:t>
      </w:r>
      <w:r>
        <w:rPr>
          <w:rFonts w:hint="eastAsia" w:ascii="宋体" w:hAnsi="宋体" w:cs="宋体"/>
          <w:color w:val="auto"/>
          <w:lang w:val="en-US" w:eastAsia="zh-CN"/>
        </w:rPr>
        <w:t>达到或优于</w:t>
      </w:r>
      <w:r>
        <w:rPr>
          <w:rFonts w:hint="eastAsia" w:ascii="宋体" w:hAnsi="宋体" w:cs="宋体"/>
          <w:color w:val="auto"/>
        </w:rPr>
        <w:t>8mm；</w:t>
      </w:r>
    </w:p>
    <w:p>
      <w:pPr>
        <w:numPr>
          <w:ilvl w:val="0"/>
          <w:numId w:val="8"/>
        </w:numPr>
        <w:ind w:firstLine="480" w:firstLineChars="200"/>
        <w:rPr>
          <w:rFonts w:hint="eastAsia" w:ascii="宋体" w:hAnsi="宋体" w:cs="宋体"/>
          <w:color w:val="auto"/>
        </w:rPr>
      </w:pPr>
      <w:r>
        <w:rPr>
          <w:rFonts w:hint="eastAsia" w:ascii="宋体" w:hAnsi="宋体" w:cs="宋体"/>
          <w:color w:val="auto"/>
        </w:rPr>
        <w:t>传送带速度：</w:t>
      </w:r>
      <w:r>
        <w:rPr>
          <w:rFonts w:hint="eastAsia" w:ascii="宋体" w:hAnsi="宋体" w:cs="宋体"/>
          <w:color w:val="auto"/>
          <w:lang w:val="en-US" w:eastAsia="zh-CN"/>
        </w:rPr>
        <w:t>达到或优于</w:t>
      </w:r>
      <w:r>
        <w:rPr>
          <w:rFonts w:hint="eastAsia" w:ascii="宋体" w:hAnsi="宋体" w:cs="宋体"/>
          <w:color w:val="auto"/>
        </w:rPr>
        <w:t>约0.2m/s；</w:t>
      </w:r>
    </w:p>
    <w:p>
      <w:pPr>
        <w:numPr>
          <w:ilvl w:val="0"/>
          <w:numId w:val="8"/>
        </w:numPr>
        <w:ind w:firstLine="480" w:firstLineChars="200"/>
        <w:rPr>
          <w:rFonts w:hint="eastAsia" w:ascii="宋体" w:hAnsi="宋体" w:cs="宋体"/>
          <w:color w:val="auto"/>
        </w:rPr>
      </w:pPr>
      <w:r>
        <w:rPr>
          <w:rFonts w:hint="eastAsia" w:ascii="宋体" w:hAnsi="宋体" w:cs="宋体"/>
          <w:color w:val="auto"/>
        </w:rPr>
        <w:t>传送带最大负荷：</w:t>
      </w:r>
      <w:r>
        <w:rPr>
          <w:rFonts w:hint="eastAsia" w:ascii="宋体" w:hAnsi="宋体" w:cs="宋体"/>
          <w:color w:val="auto"/>
          <w:lang w:val="en-US" w:eastAsia="zh-CN"/>
        </w:rPr>
        <w:t>达到或优于</w:t>
      </w:r>
      <w:r>
        <w:rPr>
          <w:rFonts w:hint="eastAsia" w:ascii="宋体" w:hAnsi="宋体" w:cs="宋体"/>
          <w:color w:val="auto"/>
        </w:rPr>
        <w:t>80Kg；</w:t>
      </w:r>
    </w:p>
    <w:p>
      <w:pPr>
        <w:numPr>
          <w:ilvl w:val="0"/>
          <w:numId w:val="8"/>
        </w:numPr>
        <w:ind w:firstLine="480" w:firstLineChars="200"/>
        <w:rPr>
          <w:rFonts w:hint="eastAsia" w:ascii="宋体" w:hAnsi="宋体" w:cs="宋体"/>
          <w:color w:val="auto"/>
        </w:rPr>
      </w:pPr>
      <w:r>
        <w:rPr>
          <w:rFonts w:hint="eastAsia" w:ascii="宋体" w:hAnsi="宋体" w:cs="宋体"/>
          <w:color w:val="auto"/>
        </w:rPr>
        <w:t>胶卷安全性：ISO 1600 (33 DIN)；</w:t>
      </w:r>
    </w:p>
    <w:p>
      <w:pPr>
        <w:numPr>
          <w:ilvl w:val="0"/>
          <w:numId w:val="8"/>
        </w:numPr>
        <w:ind w:firstLine="480" w:firstLineChars="200"/>
        <w:rPr>
          <w:rFonts w:hint="eastAsia" w:ascii="宋体" w:hAnsi="宋体" w:cs="宋体"/>
          <w:color w:val="auto"/>
        </w:rPr>
      </w:pPr>
      <w:r>
        <w:rPr>
          <w:rFonts w:hint="eastAsia" w:ascii="宋体" w:hAnsi="宋体" w:cs="宋体"/>
          <w:color w:val="auto"/>
        </w:rPr>
        <w:t>物体识别：对通过X射线扫描的包裹进行物品智能识别，智能框跟随物品移动；</w:t>
      </w:r>
    </w:p>
    <w:p>
      <w:pPr>
        <w:numPr>
          <w:ilvl w:val="0"/>
          <w:numId w:val="8"/>
        </w:numPr>
        <w:ind w:firstLine="480" w:firstLineChars="200"/>
        <w:rPr>
          <w:rFonts w:hint="eastAsia" w:ascii="宋体" w:hAnsi="宋体" w:cs="宋体"/>
          <w:color w:val="auto"/>
        </w:rPr>
      </w:pPr>
      <w:r>
        <w:rPr>
          <w:rFonts w:hint="eastAsia" w:ascii="宋体" w:hAnsi="宋体" w:cs="宋体"/>
          <w:color w:val="auto"/>
        </w:rPr>
        <w:t>识别种类：支持多种物品识别，如刀具、枪支、喷罐、液体、打火机、烟花爆竹、指虎、警棍、手铐、电子产品、雨伞、钝器等违禁物品；</w:t>
      </w:r>
    </w:p>
    <w:p>
      <w:pPr>
        <w:numPr>
          <w:ilvl w:val="0"/>
          <w:numId w:val="8"/>
        </w:numPr>
        <w:ind w:firstLine="480" w:firstLineChars="200"/>
        <w:rPr>
          <w:rFonts w:hint="eastAsia" w:ascii="宋体" w:hAnsi="宋体" w:cs="宋体"/>
          <w:color w:val="auto"/>
        </w:rPr>
      </w:pPr>
      <w:r>
        <w:rPr>
          <w:rFonts w:hint="eastAsia" w:ascii="宋体" w:hAnsi="宋体" w:cs="宋体"/>
          <w:color w:val="auto"/>
        </w:rPr>
        <w:t>危险等级：高危，警告，安全，可根据物品种类自定义危险等级；</w:t>
      </w:r>
    </w:p>
    <w:p>
      <w:pPr>
        <w:numPr>
          <w:ilvl w:val="0"/>
          <w:numId w:val="8"/>
        </w:numPr>
        <w:ind w:firstLine="480" w:firstLineChars="200"/>
        <w:rPr>
          <w:rFonts w:hint="eastAsia" w:ascii="宋体" w:hAnsi="宋体" w:cs="宋体"/>
          <w:color w:val="auto"/>
        </w:rPr>
      </w:pPr>
      <w:r>
        <w:rPr>
          <w:rFonts w:hint="eastAsia" w:ascii="宋体" w:hAnsi="宋体" w:cs="宋体"/>
          <w:color w:val="auto"/>
        </w:rPr>
        <w:t>内置硬盘：配置</w:t>
      </w:r>
      <w:r>
        <w:rPr>
          <w:rFonts w:hint="eastAsia" w:ascii="宋体" w:hAnsi="宋体" w:cs="宋体"/>
          <w:color w:val="auto"/>
          <w:lang w:val="en-US" w:eastAsia="zh-CN"/>
        </w:rPr>
        <w:t>≥</w:t>
      </w:r>
      <w:r>
        <w:rPr>
          <w:rFonts w:hint="eastAsia" w:ascii="宋体" w:hAnsi="宋体" w:cs="宋体"/>
          <w:color w:val="auto"/>
        </w:rPr>
        <w:t>1块1T硬盘；</w:t>
      </w:r>
    </w:p>
    <w:p>
      <w:pPr>
        <w:numPr>
          <w:ilvl w:val="0"/>
          <w:numId w:val="8"/>
        </w:numPr>
        <w:ind w:firstLine="480" w:firstLineChars="200"/>
        <w:rPr>
          <w:rFonts w:hint="eastAsia" w:ascii="宋体" w:hAnsi="宋体" w:cs="宋体"/>
          <w:color w:val="auto"/>
        </w:rPr>
      </w:pPr>
      <w:r>
        <w:rPr>
          <w:rFonts w:hint="eastAsia" w:ascii="宋体" w:hAnsi="宋体" w:cs="宋体"/>
          <w:color w:val="auto"/>
        </w:rPr>
        <w:t>供电方式：AC 220V～240V，50/60Hz</w:t>
      </w:r>
    </w:p>
    <w:p>
      <w:pPr>
        <w:pStyle w:val="3"/>
        <w:rPr>
          <w:rFonts w:ascii="宋体" w:hAnsi="宋体" w:eastAsia="宋体" w:cs="宋体"/>
          <w:color w:val="auto"/>
        </w:rPr>
      </w:pPr>
      <w:r>
        <w:rPr>
          <w:rFonts w:hint="eastAsia" w:ascii="宋体" w:hAnsi="宋体" w:eastAsia="宋体" w:cs="宋体"/>
          <w:color w:val="auto"/>
        </w:rPr>
        <w:t>智能X射线检查系统（</w:t>
      </w:r>
      <w:r>
        <w:rPr>
          <w:rFonts w:hint="eastAsia" w:ascii="宋体" w:hAnsi="宋体" w:eastAsia="宋体" w:cs="宋体"/>
          <w:color w:val="auto"/>
          <w:lang w:val="en-US" w:eastAsia="zh-CN"/>
        </w:rPr>
        <w:t>B款</w:t>
      </w:r>
      <w:r>
        <w:rPr>
          <w:rFonts w:hint="eastAsia" w:ascii="宋体" w:hAnsi="宋体" w:eastAsia="宋体" w:cs="宋体"/>
          <w:color w:val="auto"/>
        </w:rPr>
        <w:t>）</w:t>
      </w:r>
    </w:p>
    <w:p>
      <w:pPr>
        <w:pStyle w:val="4"/>
        <w:numPr>
          <w:ilvl w:val="0"/>
          <w:numId w:val="9"/>
        </w:numPr>
        <w:rPr>
          <w:rFonts w:hint="eastAsia" w:ascii="宋体" w:hAnsi="宋体" w:cs="宋体"/>
          <w:color w:val="auto"/>
        </w:rPr>
      </w:pPr>
      <w:r>
        <w:rPr>
          <w:rFonts w:hint="eastAsia" w:ascii="宋体" w:hAnsi="宋体" w:cs="宋体"/>
          <w:color w:val="auto"/>
        </w:rPr>
        <w:t>通道尺寸：</w:t>
      </w:r>
      <w:r>
        <w:rPr>
          <w:rFonts w:hint="eastAsia" w:ascii="宋体" w:hAnsi="宋体" w:cs="宋体"/>
          <w:color w:val="auto"/>
          <w:lang w:val="en-US" w:eastAsia="zh-CN"/>
        </w:rPr>
        <w:t>≥</w:t>
      </w:r>
      <w:r>
        <w:rPr>
          <w:rFonts w:hint="eastAsia" w:ascii="宋体" w:hAnsi="宋体" w:cs="宋体"/>
          <w:color w:val="auto"/>
        </w:rPr>
        <w:t>800mm*650mm</w:t>
      </w:r>
    </w:p>
    <w:p>
      <w:pPr>
        <w:pStyle w:val="4"/>
        <w:numPr>
          <w:ilvl w:val="0"/>
          <w:numId w:val="9"/>
        </w:numPr>
        <w:rPr>
          <w:rFonts w:hint="eastAsia" w:ascii="宋体" w:hAnsi="宋体" w:cs="宋体"/>
          <w:color w:val="auto"/>
        </w:rPr>
      </w:pPr>
      <w:r>
        <w:rPr>
          <w:rFonts w:hint="eastAsia" w:ascii="宋体" w:hAnsi="宋体" w:cs="宋体"/>
          <w:color w:val="auto"/>
        </w:rPr>
        <w:t>操作系统：嵌入式Linux操作系统；</w:t>
      </w:r>
    </w:p>
    <w:p>
      <w:pPr>
        <w:pStyle w:val="4"/>
        <w:numPr>
          <w:ilvl w:val="0"/>
          <w:numId w:val="9"/>
        </w:numPr>
        <w:rPr>
          <w:rFonts w:hint="eastAsia" w:ascii="宋体" w:hAnsi="宋体" w:cs="宋体"/>
          <w:color w:val="auto"/>
        </w:rPr>
      </w:pPr>
      <w:r>
        <w:rPr>
          <w:rFonts w:hint="eastAsia" w:ascii="宋体" w:hAnsi="宋体" w:cs="宋体"/>
          <w:color w:val="auto"/>
        </w:rPr>
        <w:t>工作湿度：10%～90%；</w:t>
      </w:r>
    </w:p>
    <w:p>
      <w:pPr>
        <w:pStyle w:val="4"/>
        <w:numPr>
          <w:ilvl w:val="0"/>
          <w:numId w:val="9"/>
        </w:numPr>
        <w:rPr>
          <w:rFonts w:hint="eastAsia" w:ascii="宋体" w:hAnsi="宋体" w:cs="宋体"/>
          <w:color w:val="auto"/>
        </w:rPr>
      </w:pPr>
      <w:r>
        <w:rPr>
          <w:rFonts w:hint="eastAsia" w:ascii="宋体" w:hAnsi="宋体" w:cs="宋体"/>
          <w:color w:val="auto"/>
        </w:rPr>
        <w:t>工作温度：0℃～+45℃ (32℉～+113℉ )；</w:t>
      </w:r>
    </w:p>
    <w:p>
      <w:pPr>
        <w:pStyle w:val="4"/>
        <w:numPr>
          <w:ilvl w:val="0"/>
          <w:numId w:val="9"/>
        </w:numPr>
        <w:rPr>
          <w:rFonts w:hint="eastAsia" w:ascii="宋体" w:hAnsi="宋体" w:cs="宋体"/>
          <w:color w:val="auto"/>
        </w:rPr>
      </w:pPr>
      <w:r>
        <w:rPr>
          <w:rFonts w:hint="eastAsia" w:ascii="宋体" w:hAnsi="宋体" w:cs="宋体"/>
          <w:color w:val="auto"/>
        </w:rPr>
        <w:t>解码能力：</w:t>
      </w:r>
      <w:r>
        <w:rPr>
          <w:rFonts w:hint="eastAsia" w:ascii="宋体" w:hAnsi="宋体" w:cs="宋体"/>
          <w:color w:val="auto"/>
          <w:lang w:val="en-US" w:eastAsia="zh-CN"/>
        </w:rPr>
        <w:t>达到或优于</w:t>
      </w:r>
      <w:r>
        <w:rPr>
          <w:rFonts w:hint="eastAsia" w:ascii="宋体" w:hAnsi="宋体" w:cs="宋体"/>
          <w:color w:val="auto"/>
        </w:rPr>
        <w:t>12路1080P@30fps；</w:t>
      </w:r>
    </w:p>
    <w:p>
      <w:pPr>
        <w:pStyle w:val="4"/>
        <w:numPr>
          <w:ilvl w:val="0"/>
          <w:numId w:val="9"/>
        </w:numPr>
        <w:rPr>
          <w:rFonts w:hint="eastAsia" w:ascii="宋体" w:hAnsi="宋体" w:cs="宋体"/>
          <w:color w:val="auto"/>
        </w:rPr>
      </w:pPr>
      <w:r>
        <w:rPr>
          <w:rFonts w:hint="eastAsia" w:ascii="宋体" w:hAnsi="宋体" w:cs="宋体"/>
          <w:color w:val="auto"/>
        </w:rPr>
        <w:t>视频输出：</w:t>
      </w:r>
      <w:r>
        <w:rPr>
          <w:rFonts w:hint="eastAsia" w:ascii="宋体" w:hAnsi="宋体" w:cs="宋体"/>
          <w:color w:val="auto"/>
          <w:lang w:val="en-US" w:eastAsia="zh-CN"/>
        </w:rPr>
        <w:t>达到或优于</w:t>
      </w:r>
      <w:r>
        <w:rPr>
          <w:rFonts w:hint="eastAsia" w:ascii="宋体" w:hAnsi="宋体" w:cs="宋体"/>
          <w:color w:val="auto"/>
        </w:rPr>
        <w:t>2路DVI视频异源输出每路分辨率最大支持1920*1080@60Hz；</w:t>
      </w:r>
    </w:p>
    <w:p>
      <w:pPr>
        <w:pStyle w:val="4"/>
        <w:numPr>
          <w:ilvl w:val="0"/>
          <w:numId w:val="9"/>
        </w:numPr>
        <w:rPr>
          <w:rFonts w:hint="eastAsia" w:ascii="宋体" w:hAnsi="宋体" w:cs="宋体"/>
          <w:color w:val="auto"/>
        </w:rPr>
      </w:pPr>
      <w:r>
        <w:rPr>
          <w:rFonts w:hint="eastAsia" w:ascii="宋体" w:hAnsi="宋体" w:cs="宋体"/>
          <w:color w:val="auto"/>
        </w:rPr>
        <w:t>视频压缩标准：MPEG4;MJPEG;H.264;H.265；</w:t>
      </w:r>
    </w:p>
    <w:p>
      <w:pPr>
        <w:pStyle w:val="4"/>
        <w:numPr>
          <w:ilvl w:val="0"/>
          <w:numId w:val="9"/>
        </w:numPr>
        <w:rPr>
          <w:rFonts w:hint="eastAsia" w:ascii="宋体" w:hAnsi="宋体" w:cs="宋体"/>
          <w:color w:val="auto"/>
        </w:rPr>
      </w:pPr>
      <w:r>
        <w:rPr>
          <w:rFonts w:hint="eastAsia" w:ascii="宋体" w:hAnsi="宋体" w:cs="宋体"/>
          <w:color w:val="auto"/>
        </w:rPr>
        <w:t>网络协议： IP Search (Support Dahua IP camera,DVR, etc.) ;IP Filter;DNS;DHCP;NTP;UDP;RTSP;IPv4;TCP/IP;HTTPS;HTTP；</w:t>
      </w:r>
    </w:p>
    <w:p>
      <w:pPr>
        <w:pStyle w:val="4"/>
        <w:numPr>
          <w:ilvl w:val="0"/>
          <w:numId w:val="9"/>
        </w:numPr>
        <w:rPr>
          <w:rFonts w:hint="eastAsia" w:ascii="宋体" w:hAnsi="宋体" w:cs="宋体"/>
          <w:color w:val="auto"/>
        </w:rPr>
      </w:pPr>
      <w:r>
        <w:rPr>
          <w:rFonts w:hint="eastAsia" w:ascii="宋体" w:hAnsi="宋体" w:cs="宋体"/>
          <w:color w:val="auto"/>
        </w:rPr>
        <w:t>硬盘接口：</w:t>
      </w:r>
      <w:r>
        <w:rPr>
          <w:rFonts w:hint="eastAsia" w:ascii="宋体" w:hAnsi="宋体" w:cs="宋体"/>
          <w:color w:val="auto"/>
          <w:lang w:val="en-US" w:eastAsia="zh-CN"/>
        </w:rPr>
        <w:t>≥</w:t>
      </w:r>
      <w:r>
        <w:rPr>
          <w:rFonts w:hint="eastAsia" w:ascii="宋体" w:hAnsi="宋体" w:cs="宋体"/>
          <w:color w:val="auto"/>
        </w:rPr>
        <w:t>4个，SATA3.0，单盘最大10T；</w:t>
      </w:r>
    </w:p>
    <w:p>
      <w:pPr>
        <w:pStyle w:val="4"/>
        <w:numPr>
          <w:ilvl w:val="0"/>
          <w:numId w:val="9"/>
        </w:numPr>
        <w:rPr>
          <w:rFonts w:hint="eastAsia" w:ascii="宋体" w:hAnsi="宋体" w:cs="宋体"/>
          <w:color w:val="auto"/>
        </w:rPr>
      </w:pPr>
      <w:r>
        <w:rPr>
          <w:rFonts w:hint="eastAsia" w:ascii="宋体" w:hAnsi="宋体" w:cs="宋体"/>
          <w:color w:val="auto"/>
        </w:rPr>
        <w:t>主处理器：</w:t>
      </w:r>
      <w:r>
        <w:rPr>
          <w:rFonts w:hint="eastAsia" w:ascii="宋体" w:hAnsi="宋体" w:cs="宋体"/>
          <w:color w:val="auto"/>
          <w:lang w:val="en-US" w:eastAsia="zh-CN"/>
        </w:rPr>
        <w:t>达到或优于</w:t>
      </w:r>
      <w:r>
        <w:rPr>
          <w:rFonts w:hint="eastAsia" w:ascii="宋体" w:hAnsi="宋体" w:cs="宋体"/>
          <w:color w:val="auto"/>
        </w:rPr>
        <w:t>intel 双核处理器；</w:t>
      </w:r>
    </w:p>
    <w:p>
      <w:pPr>
        <w:pStyle w:val="4"/>
        <w:numPr>
          <w:ilvl w:val="0"/>
          <w:numId w:val="9"/>
        </w:numPr>
        <w:rPr>
          <w:rFonts w:hint="eastAsia" w:ascii="宋体" w:hAnsi="宋体" w:cs="宋体"/>
          <w:color w:val="auto"/>
        </w:rPr>
      </w:pPr>
      <w:r>
        <w:rPr>
          <w:rFonts w:hint="eastAsia" w:ascii="宋体" w:hAnsi="宋体" w:cs="宋体"/>
          <w:color w:val="auto"/>
        </w:rPr>
        <w:t>报警输出：</w:t>
      </w:r>
      <w:r>
        <w:rPr>
          <w:rFonts w:hint="eastAsia" w:ascii="宋体" w:hAnsi="宋体" w:cs="宋体"/>
          <w:color w:val="auto"/>
          <w:lang w:val="en-US" w:eastAsia="zh-CN"/>
        </w:rPr>
        <w:t>≥</w:t>
      </w:r>
      <w:r>
        <w:rPr>
          <w:rFonts w:hint="eastAsia" w:ascii="宋体" w:hAnsi="宋体" w:cs="宋体"/>
          <w:color w:val="auto"/>
        </w:rPr>
        <w:t>1路报警输出（支持12V供电）；</w:t>
      </w:r>
    </w:p>
    <w:p>
      <w:pPr>
        <w:pStyle w:val="4"/>
        <w:numPr>
          <w:ilvl w:val="0"/>
          <w:numId w:val="9"/>
        </w:numPr>
        <w:rPr>
          <w:rFonts w:hint="eastAsia" w:ascii="宋体" w:hAnsi="宋体" w:cs="宋体"/>
          <w:color w:val="auto"/>
        </w:rPr>
      </w:pPr>
      <w:r>
        <w:rPr>
          <w:rFonts w:hint="eastAsia" w:ascii="宋体" w:hAnsi="宋体" w:cs="宋体"/>
          <w:color w:val="auto"/>
        </w:rPr>
        <w:t>线分辨力：</w:t>
      </w:r>
      <w:r>
        <w:rPr>
          <w:rFonts w:hint="eastAsia" w:ascii="宋体" w:hAnsi="宋体" w:cs="宋体"/>
          <w:color w:val="auto"/>
          <w:lang w:val="en-US" w:eastAsia="zh-CN"/>
        </w:rPr>
        <w:t>达到或优于</w:t>
      </w:r>
      <w:r>
        <w:rPr>
          <w:rFonts w:hint="eastAsia" w:ascii="宋体" w:hAnsi="宋体" w:cs="宋体"/>
          <w:color w:val="auto"/>
        </w:rPr>
        <w:t>40 AWG；</w:t>
      </w:r>
    </w:p>
    <w:p>
      <w:pPr>
        <w:pStyle w:val="4"/>
        <w:numPr>
          <w:ilvl w:val="0"/>
          <w:numId w:val="9"/>
        </w:numPr>
        <w:rPr>
          <w:rFonts w:hint="eastAsia" w:ascii="宋体" w:hAnsi="宋体" w:cs="宋体"/>
          <w:color w:val="auto"/>
        </w:rPr>
      </w:pPr>
      <w:r>
        <w:rPr>
          <w:rFonts w:hint="eastAsia" w:ascii="宋体" w:hAnsi="宋体" w:cs="宋体"/>
          <w:color w:val="auto"/>
        </w:rPr>
        <w:t>穿透分辨力：</w:t>
      </w:r>
      <w:r>
        <w:rPr>
          <w:rFonts w:hint="eastAsia" w:ascii="宋体" w:hAnsi="宋体" w:cs="宋体"/>
          <w:color w:val="auto"/>
          <w:lang w:val="en-US" w:eastAsia="zh-CN"/>
        </w:rPr>
        <w:t>达到或优于</w:t>
      </w:r>
      <w:r>
        <w:rPr>
          <w:rFonts w:hint="eastAsia" w:ascii="宋体" w:hAnsi="宋体" w:cs="宋体"/>
          <w:color w:val="auto"/>
        </w:rPr>
        <w:t>34 AWG；</w:t>
      </w:r>
    </w:p>
    <w:p>
      <w:pPr>
        <w:pStyle w:val="4"/>
        <w:numPr>
          <w:ilvl w:val="0"/>
          <w:numId w:val="9"/>
        </w:numPr>
        <w:rPr>
          <w:rFonts w:hint="eastAsia" w:ascii="宋体" w:hAnsi="宋体" w:cs="宋体"/>
          <w:color w:val="auto"/>
        </w:rPr>
      </w:pPr>
      <w:r>
        <w:rPr>
          <w:rFonts w:hint="eastAsia" w:ascii="宋体" w:hAnsi="宋体" w:cs="宋体"/>
          <w:color w:val="auto"/>
        </w:rPr>
        <w:t>空间分辨力：垂直：</w:t>
      </w:r>
      <w:r>
        <w:rPr>
          <w:rFonts w:hint="eastAsia" w:ascii="宋体" w:hAnsi="宋体" w:cs="宋体"/>
          <w:color w:val="auto"/>
          <w:lang w:val="en-US" w:eastAsia="zh-CN"/>
        </w:rPr>
        <w:t>达到或优于</w:t>
      </w:r>
      <w:r>
        <w:rPr>
          <w:rFonts w:hint="eastAsia" w:ascii="宋体" w:hAnsi="宋体" w:cs="宋体"/>
          <w:color w:val="auto"/>
        </w:rPr>
        <w:t>0.8mm 水平：</w:t>
      </w:r>
      <w:r>
        <w:rPr>
          <w:rFonts w:hint="eastAsia" w:ascii="宋体" w:hAnsi="宋体" w:cs="宋体"/>
          <w:color w:val="auto"/>
          <w:lang w:val="en-US" w:eastAsia="zh-CN"/>
        </w:rPr>
        <w:t>达到或优于</w:t>
      </w:r>
      <w:r>
        <w:rPr>
          <w:rFonts w:hint="eastAsia" w:ascii="宋体" w:hAnsi="宋体" w:cs="宋体"/>
          <w:color w:val="auto"/>
        </w:rPr>
        <w:t>0.8mm ;</w:t>
      </w:r>
    </w:p>
    <w:p>
      <w:pPr>
        <w:pStyle w:val="4"/>
        <w:numPr>
          <w:ilvl w:val="0"/>
          <w:numId w:val="9"/>
        </w:numPr>
        <w:rPr>
          <w:rFonts w:hint="eastAsia" w:ascii="宋体" w:hAnsi="宋体" w:cs="宋体"/>
          <w:color w:val="auto"/>
        </w:rPr>
      </w:pPr>
      <w:r>
        <w:rPr>
          <w:rFonts w:hint="eastAsia" w:ascii="宋体" w:hAnsi="宋体" w:cs="宋体"/>
          <w:color w:val="auto"/>
        </w:rPr>
        <w:t>穿透力：</w:t>
      </w:r>
      <w:r>
        <w:rPr>
          <w:rFonts w:hint="eastAsia" w:ascii="宋体" w:hAnsi="宋体" w:cs="宋体"/>
          <w:color w:val="auto"/>
          <w:lang w:val="en-US" w:eastAsia="zh-CN"/>
        </w:rPr>
        <w:t>达到或优于</w:t>
      </w:r>
      <w:r>
        <w:rPr>
          <w:rFonts w:hint="eastAsia" w:ascii="宋体" w:hAnsi="宋体" w:cs="宋体"/>
          <w:color w:val="auto"/>
        </w:rPr>
        <w:t>36mm</w:t>
      </w:r>
    </w:p>
    <w:p>
      <w:pPr>
        <w:pStyle w:val="4"/>
        <w:numPr>
          <w:ilvl w:val="0"/>
          <w:numId w:val="9"/>
        </w:numPr>
        <w:rPr>
          <w:rFonts w:hint="eastAsia" w:ascii="宋体" w:hAnsi="宋体" w:cs="宋体"/>
          <w:color w:val="auto"/>
        </w:rPr>
      </w:pPr>
      <w:r>
        <w:rPr>
          <w:rFonts w:hint="eastAsia" w:ascii="宋体" w:hAnsi="宋体" w:cs="宋体"/>
          <w:color w:val="auto"/>
        </w:rPr>
        <w:t>传送带速度：</w:t>
      </w:r>
      <w:r>
        <w:rPr>
          <w:rFonts w:hint="eastAsia" w:ascii="宋体" w:hAnsi="宋体" w:cs="宋体"/>
          <w:color w:val="auto"/>
          <w:lang w:val="en-US" w:eastAsia="zh-CN"/>
        </w:rPr>
        <w:t>达到或优于</w:t>
      </w:r>
      <w:r>
        <w:rPr>
          <w:rFonts w:hint="eastAsia" w:ascii="宋体" w:hAnsi="宋体" w:cs="宋体"/>
          <w:color w:val="auto"/>
        </w:rPr>
        <w:t>约0.2m/s；</w:t>
      </w:r>
    </w:p>
    <w:p>
      <w:pPr>
        <w:pStyle w:val="4"/>
        <w:numPr>
          <w:ilvl w:val="0"/>
          <w:numId w:val="9"/>
        </w:numPr>
        <w:rPr>
          <w:rFonts w:hint="eastAsia" w:ascii="宋体" w:hAnsi="宋体" w:cs="宋体"/>
          <w:color w:val="auto"/>
        </w:rPr>
      </w:pPr>
      <w:r>
        <w:rPr>
          <w:rFonts w:hint="eastAsia" w:ascii="宋体" w:hAnsi="宋体" w:cs="宋体"/>
          <w:color w:val="auto"/>
        </w:rPr>
        <w:t>传送带最大负荷：</w:t>
      </w:r>
      <w:r>
        <w:rPr>
          <w:rFonts w:hint="eastAsia" w:ascii="宋体" w:hAnsi="宋体" w:cs="宋体"/>
          <w:color w:val="auto"/>
          <w:lang w:val="en-US" w:eastAsia="zh-CN"/>
        </w:rPr>
        <w:t>达到或优于</w:t>
      </w:r>
      <w:r>
        <w:rPr>
          <w:rFonts w:hint="eastAsia" w:ascii="宋体" w:hAnsi="宋体" w:cs="宋体"/>
          <w:color w:val="auto"/>
        </w:rPr>
        <w:t>170Kg；</w:t>
      </w:r>
    </w:p>
    <w:p>
      <w:pPr>
        <w:pStyle w:val="4"/>
        <w:numPr>
          <w:ilvl w:val="0"/>
          <w:numId w:val="9"/>
        </w:numPr>
        <w:rPr>
          <w:rFonts w:hint="eastAsia" w:ascii="宋体" w:hAnsi="宋体" w:cs="宋体"/>
          <w:color w:val="auto"/>
        </w:rPr>
      </w:pPr>
      <w:r>
        <w:rPr>
          <w:rFonts w:hint="eastAsia" w:ascii="宋体" w:hAnsi="宋体" w:cs="宋体"/>
          <w:color w:val="auto"/>
        </w:rPr>
        <w:t>胶卷安全性：对符合ASA/ISO 1600标准胶卷安全；</w:t>
      </w:r>
    </w:p>
    <w:p>
      <w:pPr>
        <w:pStyle w:val="4"/>
        <w:numPr>
          <w:ilvl w:val="0"/>
          <w:numId w:val="9"/>
        </w:numPr>
        <w:rPr>
          <w:rFonts w:hint="eastAsia" w:ascii="宋体" w:hAnsi="宋体" w:cs="宋体"/>
          <w:color w:val="auto"/>
        </w:rPr>
      </w:pPr>
      <w:r>
        <w:rPr>
          <w:rFonts w:hint="eastAsia" w:ascii="宋体" w:hAnsi="宋体" w:cs="宋体"/>
          <w:color w:val="auto"/>
        </w:rPr>
        <w:t>物体识别：对通过X射线扫描的包裹进行物品智能识别，智能框跟随物品移动；</w:t>
      </w:r>
    </w:p>
    <w:p>
      <w:pPr>
        <w:pStyle w:val="4"/>
        <w:numPr>
          <w:ilvl w:val="0"/>
          <w:numId w:val="9"/>
        </w:numPr>
        <w:rPr>
          <w:rFonts w:hint="eastAsia" w:ascii="宋体" w:hAnsi="宋体" w:cs="宋体"/>
          <w:color w:val="auto"/>
        </w:rPr>
      </w:pPr>
      <w:r>
        <w:rPr>
          <w:rFonts w:hint="eastAsia" w:ascii="宋体" w:hAnsi="宋体" w:cs="宋体"/>
          <w:color w:val="auto"/>
        </w:rPr>
        <w:t>识别种类：支持12种物品识别，如刀具、枪支、喷灌、液体、打火机、烟花爆竹、指虎、警棍、手铐、电子产品、雨伞、钝器等违禁物品；</w:t>
      </w:r>
    </w:p>
    <w:p>
      <w:pPr>
        <w:pStyle w:val="4"/>
        <w:numPr>
          <w:ilvl w:val="0"/>
          <w:numId w:val="9"/>
        </w:numPr>
        <w:rPr>
          <w:rFonts w:hint="eastAsia" w:ascii="宋体" w:hAnsi="宋体" w:cs="宋体"/>
          <w:color w:val="auto"/>
        </w:rPr>
      </w:pPr>
      <w:r>
        <w:rPr>
          <w:rFonts w:hint="eastAsia" w:ascii="宋体" w:hAnsi="宋体" w:cs="宋体"/>
          <w:color w:val="auto"/>
        </w:rPr>
        <w:t>危险等级：高危，警告，安全，可根据物品种类自定义危险等级；</w:t>
      </w:r>
    </w:p>
    <w:p>
      <w:pPr>
        <w:pStyle w:val="4"/>
        <w:numPr>
          <w:ilvl w:val="0"/>
          <w:numId w:val="9"/>
        </w:numPr>
        <w:rPr>
          <w:rFonts w:hint="eastAsia" w:ascii="宋体" w:hAnsi="宋体" w:cs="宋体"/>
          <w:color w:val="auto"/>
        </w:rPr>
      </w:pPr>
      <w:r>
        <w:rPr>
          <w:rFonts w:hint="eastAsia" w:ascii="宋体" w:hAnsi="宋体" w:cs="宋体"/>
          <w:color w:val="auto"/>
        </w:rPr>
        <w:t>硬盘数量：配置</w:t>
      </w:r>
      <w:r>
        <w:rPr>
          <w:rFonts w:hint="eastAsia" w:ascii="宋体" w:hAnsi="宋体" w:cs="宋体"/>
          <w:color w:val="auto"/>
          <w:lang w:val="en-US" w:eastAsia="zh-CN"/>
        </w:rPr>
        <w:t>≥</w:t>
      </w:r>
      <w:r>
        <w:rPr>
          <w:rFonts w:hint="eastAsia" w:ascii="宋体" w:hAnsi="宋体" w:cs="宋体"/>
          <w:color w:val="auto"/>
        </w:rPr>
        <w:t>1块4T硬盘；</w:t>
      </w:r>
    </w:p>
    <w:p>
      <w:pPr>
        <w:pStyle w:val="4"/>
        <w:numPr>
          <w:ilvl w:val="0"/>
          <w:numId w:val="9"/>
        </w:numPr>
        <w:rPr>
          <w:rFonts w:ascii="宋体" w:hAnsi="宋体" w:cs="宋体"/>
          <w:color w:val="auto"/>
        </w:rPr>
      </w:pPr>
      <w:r>
        <w:rPr>
          <w:rFonts w:hint="eastAsia" w:ascii="宋体" w:hAnsi="宋体" w:cs="宋体"/>
          <w:color w:val="auto"/>
        </w:rPr>
        <w:t>供电方式：AC 220V～240V</w:t>
      </w:r>
    </w:p>
    <w:p>
      <w:pPr>
        <w:pStyle w:val="3"/>
        <w:rPr>
          <w:rFonts w:ascii="宋体" w:hAnsi="宋体" w:eastAsia="宋体" w:cs="宋体"/>
          <w:color w:val="auto"/>
        </w:rPr>
      </w:pPr>
      <w:r>
        <w:rPr>
          <w:rFonts w:hint="eastAsia" w:ascii="宋体" w:hAnsi="宋体" w:eastAsia="宋体" w:cs="宋体"/>
          <w:color w:val="auto"/>
        </w:rPr>
        <w:t>安检门</w:t>
      </w:r>
    </w:p>
    <w:p>
      <w:pPr>
        <w:pStyle w:val="4"/>
        <w:numPr>
          <w:ilvl w:val="0"/>
          <w:numId w:val="10"/>
        </w:numPr>
        <w:rPr>
          <w:rFonts w:hint="eastAsia" w:ascii="宋体" w:hAnsi="宋体" w:cs="宋体"/>
          <w:color w:val="auto"/>
        </w:rPr>
      </w:pPr>
      <w:r>
        <w:rPr>
          <w:rFonts w:hint="eastAsia" w:ascii="宋体" w:hAnsi="宋体" w:cs="宋体"/>
          <w:color w:val="auto"/>
        </w:rPr>
        <w:t>信息显示：</w:t>
      </w:r>
      <w:r>
        <w:rPr>
          <w:rFonts w:hint="eastAsia" w:ascii="宋体" w:hAnsi="宋体" w:cs="宋体"/>
          <w:color w:val="auto"/>
          <w:lang w:val="en-US" w:eastAsia="zh-CN"/>
        </w:rPr>
        <w:t>达到或优于</w:t>
      </w:r>
      <w:r>
        <w:rPr>
          <w:rFonts w:hint="eastAsia" w:ascii="宋体" w:hAnsi="宋体" w:cs="宋体"/>
          <w:color w:val="auto"/>
        </w:rPr>
        <w:t>3.5寸液晶显示屏，18区人形报警指示灯，可精准显示金属探测位置</w:t>
      </w:r>
    </w:p>
    <w:p>
      <w:pPr>
        <w:pStyle w:val="4"/>
        <w:numPr>
          <w:ilvl w:val="0"/>
          <w:numId w:val="10"/>
        </w:numPr>
        <w:rPr>
          <w:rFonts w:hint="eastAsia" w:ascii="宋体" w:hAnsi="宋体" w:cs="宋体"/>
          <w:color w:val="auto"/>
        </w:rPr>
      </w:pPr>
      <w:r>
        <w:rPr>
          <w:rFonts w:hint="eastAsia" w:ascii="宋体" w:hAnsi="宋体" w:cs="宋体"/>
          <w:color w:val="auto"/>
        </w:rPr>
        <w:t>金属检测：最高灵敏度可检测到一枚回形针，有效进行违规物品核验；</w:t>
      </w:r>
    </w:p>
    <w:p>
      <w:pPr>
        <w:pStyle w:val="4"/>
        <w:numPr>
          <w:ilvl w:val="0"/>
          <w:numId w:val="10"/>
        </w:numPr>
        <w:rPr>
          <w:rFonts w:hint="eastAsia" w:ascii="宋体" w:hAnsi="宋体" w:cs="宋体"/>
          <w:color w:val="auto"/>
        </w:rPr>
      </w:pPr>
      <w:r>
        <w:rPr>
          <w:rFonts w:hint="eastAsia" w:ascii="宋体" w:hAnsi="宋体" w:cs="宋体"/>
          <w:color w:val="auto"/>
        </w:rPr>
        <w:t>联网功能：可实现联网互通，支持通过网络进行固件升级；</w:t>
      </w:r>
    </w:p>
    <w:p>
      <w:pPr>
        <w:pStyle w:val="4"/>
        <w:numPr>
          <w:ilvl w:val="0"/>
          <w:numId w:val="10"/>
        </w:numPr>
        <w:rPr>
          <w:rFonts w:hint="eastAsia" w:ascii="宋体" w:hAnsi="宋体" w:cs="宋体"/>
          <w:color w:val="auto"/>
        </w:rPr>
      </w:pPr>
      <w:r>
        <w:rPr>
          <w:rFonts w:hint="eastAsia" w:ascii="宋体" w:hAnsi="宋体" w:cs="宋体"/>
          <w:color w:val="auto"/>
        </w:rPr>
        <w:t>报警声可调：支持</w:t>
      </w:r>
      <w:r>
        <w:rPr>
          <w:rFonts w:hint="eastAsia" w:ascii="宋体" w:hAnsi="宋体" w:cs="宋体"/>
          <w:color w:val="auto"/>
          <w:lang w:val="en-US" w:eastAsia="zh-CN"/>
        </w:rPr>
        <w:t>≥</w:t>
      </w:r>
      <w:r>
        <w:rPr>
          <w:rFonts w:hint="eastAsia" w:ascii="宋体" w:hAnsi="宋体" w:cs="宋体"/>
          <w:color w:val="auto"/>
        </w:rPr>
        <w:t>9种报警声音，</w:t>
      </w:r>
      <w:r>
        <w:rPr>
          <w:rFonts w:hint="eastAsia" w:ascii="宋体" w:hAnsi="宋体" w:cs="宋体"/>
          <w:color w:val="auto"/>
          <w:lang w:val="en-US" w:eastAsia="zh-CN"/>
        </w:rPr>
        <w:t>≥</w:t>
      </w:r>
      <w:r>
        <w:rPr>
          <w:rFonts w:hint="eastAsia" w:ascii="宋体" w:hAnsi="宋体" w:cs="宋体"/>
          <w:color w:val="auto"/>
        </w:rPr>
        <w:t>10种音量等级，0~10s报警时长可调，支持静音模式</w:t>
      </w:r>
    </w:p>
    <w:p>
      <w:pPr>
        <w:pStyle w:val="4"/>
        <w:numPr>
          <w:ilvl w:val="0"/>
          <w:numId w:val="10"/>
        </w:numPr>
        <w:rPr>
          <w:rFonts w:hint="eastAsia" w:ascii="宋体" w:hAnsi="宋体" w:cs="宋体"/>
          <w:color w:val="auto"/>
        </w:rPr>
      </w:pPr>
      <w:r>
        <w:rPr>
          <w:rFonts w:hint="eastAsia" w:ascii="宋体" w:hAnsi="宋体" w:cs="宋体"/>
          <w:color w:val="auto"/>
        </w:rPr>
        <w:t>多区位报警功能：人体不同位置的多个金属通过安检门时会同时报警，并可以指示多个金属的位置，最多支持</w:t>
      </w:r>
      <w:r>
        <w:rPr>
          <w:rFonts w:hint="eastAsia" w:ascii="宋体" w:hAnsi="宋体" w:cs="宋体"/>
          <w:color w:val="auto"/>
          <w:lang w:val="en-US" w:eastAsia="zh-CN"/>
        </w:rPr>
        <w:t>≥</w:t>
      </w:r>
      <w:r>
        <w:rPr>
          <w:rFonts w:hint="eastAsia" w:ascii="宋体" w:hAnsi="宋体" w:cs="宋体"/>
          <w:color w:val="auto"/>
        </w:rPr>
        <w:t>18区位。</w:t>
      </w:r>
    </w:p>
    <w:p>
      <w:pPr>
        <w:pStyle w:val="4"/>
        <w:numPr>
          <w:ilvl w:val="0"/>
          <w:numId w:val="10"/>
        </w:numPr>
        <w:rPr>
          <w:rFonts w:hint="eastAsia" w:ascii="宋体" w:hAnsi="宋体" w:cs="宋体"/>
          <w:color w:val="auto"/>
        </w:rPr>
      </w:pPr>
      <w:r>
        <w:rPr>
          <w:rFonts w:hint="eastAsia" w:ascii="宋体" w:hAnsi="宋体" w:cs="宋体"/>
          <w:color w:val="auto"/>
        </w:rPr>
        <w:t>多场景模式：支持</w:t>
      </w:r>
      <w:r>
        <w:rPr>
          <w:rFonts w:hint="eastAsia" w:ascii="宋体" w:hAnsi="宋体" w:cs="宋体"/>
          <w:color w:val="auto"/>
          <w:lang w:val="en-US" w:eastAsia="zh-CN"/>
        </w:rPr>
        <w:t>≥</w:t>
      </w:r>
      <w:r>
        <w:rPr>
          <w:rFonts w:hint="eastAsia" w:ascii="宋体" w:hAnsi="宋体" w:cs="宋体"/>
          <w:color w:val="auto"/>
        </w:rPr>
        <w:t>12个场景设置，不同场景自动匹配灵敏度</w:t>
      </w:r>
    </w:p>
    <w:p>
      <w:pPr>
        <w:pStyle w:val="4"/>
        <w:numPr>
          <w:ilvl w:val="0"/>
          <w:numId w:val="10"/>
        </w:numPr>
        <w:rPr>
          <w:rFonts w:hint="eastAsia" w:ascii="宋体" w:hAnsi="宋体" w:cs="宋体"/>
          <w:color w:val="auto"/>
        </w:rPr>
      </w:pPr>
      <w:r>
        <w:rPr>
          <w:rFonts w:hint="eastAsia" w:ascii="宋体" w:hAnsi="宋体" w:cs="宋体"/>
          <w:color w:val="auto"/>
        </w:rPr>
        <w:t>接口功能：</w:t>
      </w:r>
      <w:r>
        <w:rPr>
          <w:rFonts w:hint="eastAsia" w:ascii="宋体" w:hAnsi="宋体" w:cs="宋体"/>
          <w:color w:val="auto"/>
          <w:lang w:val="en-US" w:eastAsia="zh-CN"/>
        </w:rPr>
        <w:t>≥</w:t>
      </w:r>
      <w:r>
        <w:rPr>
          <w:rFonts w:hint="eastAsia" w:ascii="宋体" w:hAnsi="宋体" w:cs="宋体"/>
          <w:color w:val="auto"/>
        </w:rPr>
        <w:t>1路10M/100M以太网接口，1路报警输入/输出，1路RS-485接口</w:t>
      </w:r>
    </w:p>
    <w:p>
      <w:pPr>
        <w:pStyle w:val="4"/>
        <w:numPr>
          <w:ilvl w:val="0"/>
          <w:numId w:val="10"/>
        </w:numPr>
        <w:rPr>
          <w:rFonts w:hint="eastAsia" w:ascii="宋体" w:hAnsi="宋体" w:cs="宋体"/>
          <w:color w:val="auto"/>
        </w:rPr>
      </w:pPr>
      <w:r>
        <w:rPr>
          <w:rFonts w:hint="eastAsia" w:ascii="宋体" w:hAnsi="宋体" w:cs="宋体"/>
          <w:color w:val="auto"/>
        </w:rPr>
        <w:t>模块化组件设计：运输、维护方便快捷。</w:t>
      </w:r>
    </w:p>
    <w:p>
      <w:pPr>
        <w:pStyle w:val="4"/>
        <w:numPr>
          <w:ilvl w:val="0"/>
          <w:numId w:val="10"/>
        </w:numPr>
        <w:rPr>
          <w:rFonts w:hint="eastAsia" w:ascii="宋体" w:hAnsi="宋体" w:cs="宋体"/>
          <w:color w:val="auto"/>
        </w:rPr>
      </w:pPr>
      <w:r>
        <w:rPr>
          <w:rFonts w:hint="eastAsia" w:ascii="宋体" w:hAnsi="宋体" w:cs="宋体"/>
          <w:color w:val="auto"/>
          <w:lang w:val="en-US" w:eastAsia="zh-CN"/>
        </w:rPr>
        <w:t>安全性能：在探测区左右边界各向内150mm的区域中，任意一点的辐射磁感应强度均应小于等于10uT。</w:t>
      </w:r>
    </w:p>
    <w:p>
      <w:pPr>
        <w:pStyle w:val="2"/>
        <w:spacing w:line="360" w:lineRule="auto"/>
        <w:rPr>
          <w:rFonts w:ascii="宋体" w:hAnsi="宋体" w:cs="宋体"/>
          <w:color w:val="auto"/>
        </w:rPr>
      </w:pPr>
      <w:r>
        <w:rPr>
          <w:rFonts w:hint="eastAsia" w:ascii="宋体" w:hAnsi="宋体" w:cs="宋体"/>
          <w:color w:val="auto"/>
        </w:rPr>
        <w:t>技术要求</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（1）投标人提供的设备应符合国际及国内相关的技术标准和规范。</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（2）投标人提供的设备应具备高可用性、高可靠性和安全性，并兼顾技术的先进性和产品的成熟性。</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（3）投标人提供的设备应具备合法的知识产权。</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（4）投标人提供的产品在国内有完善的技术支持和售后服务体系。</w:t>
      </w:r>
    </w:p>
    <w:p>
      <w:pPr>
        <w:pStyle w:val="24"/>
        <w:spacing w:line="360" w:lineRule="auto"/>
        <w:rPr>
          <w:rFonts w:ascii="宋体" w:hAnsi="宋体" w:cs="宋体"/>
          <w:bCs/>
          <w:color w:val="auto"/>
          <w:sz w:val="24"/>
          <w:szCs w:val="24"/>
        </w:rPr>
      </w:pPr>
      <w:r>
        <w:rPr>
          <w:rFonts w:hint="eastAsia" w:ascii="宋体" w:hAnsi="宋体" w:cs="宋体"/>
          <w:bCs/>
          <w:color w:val="auto"/>
          <w:sz w:val="24"/>
          <w:szCs w:val="24"/>
        </w:rPr>
        <w:t>（5）投标人需对售后服务做出书面承诺。（提供承诺函，格式自拟）</w:t>
      </w:r>
    </w:p>
    <w:p>
      <w:pPr>
        <w:pStyle w:val="24"/>
        <w:spacing w:line="360" w:lineRule="auto"/>
        <w:rPr>
          <w:rFonts w:hint="eastAsia" w:ascii="宋体" w:hAnsi="宋体" w:cs="宋体"/>
          <w:bCs/>
          <w:color w:val="auto"/>
          <w:sz w:val="24"/>
          <w:szCs w:val="24"/>
        </w:rPr>
      </w:pPr>
      <w:r>
        <w:rPr>
          <w:rFonts w:hint="eastAsia" w:ascii="宋体" w:hAnsi="宋体" w:cs="宋体"/>
          <w:bCs/>
          <w:color w:val="auto"/>
          <w:sz w:val="24"/>
          <w:szCs w:val="24"/>
        </w:rPr>
        <w:t>（6）具体参数参照设备清单。（需提供相关产品文件证明）</w:t>
      </w:r>
    </w:p>
    <w:p>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7</w:t>
      </w:r>
      <w:r>
        <w:rPr>
          <w:rFonts w:hint="eastAsia" w:ascii="宋体" w:hAnsi="宋体" w:cs="宋体"/>
          <w:bCs/>
          <w:color w:val="auto"/>
          <w:sz w:val="24"/>
          <w:szCs w:val="24"/>
          <w:lang w:eastAsia="zh-CN"/>
        </w:rPr>
        <w:t>）★投标人所投</w:t>
      </w:r>
      <w:r>
        <w:rPr>
          <w:rFonts w:hint="eastAsia" w:ascii="宋体" w:hAnsi="宋体" w:cs="宋体"/>
          <w:bCs/>
          <w:color w:val="auto"/>
          <w:sz w:val="24"/>
          <w:szCs w:val="24"/>
          <w:lang w:val="en-US" w:eastAsia="zh-CN"/>
        </w:rPr>
        <w:t>安检设备</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须</w:t>
      </w:r>
      <w:r>
        <w:rPr>
          <w:rFonts w:hint="eastAsia" w:ascii="宋体" w:hAnsi="宋体" w:cs="宋体"/>
          <w:bCs/>
          <w:color w:val="auto"/>
          <w:sz w:val="24"/>
          <w:szCs w:val="24"/>
          <w:lang w:eastAsia="zh-CN"/>
        </w:rPr>
        <w:t>可接入我院现有安防综合管理平台系统统一管理</w:t>
      </w:r>
      <w:r>
        <w:rPr>
          <w:rFonts w:hint="eastAsia" w:ascii="宋体" w:hAnsi="宋体" w:cs="宋体"/>
          <w:bCs/>
          <w:color w:val="auto"/>
          <w:sz w:val="24"/>
          <w:szCs w:val="24"/>
          <w:lang w:val="en-US" w:eastAsia="zh-CN"/>
        </w:rPr>
        <w:t>并对接上传报警信息、客流信息、视频图像等功能。</w:t>
      </w:r>
      <w:r>
        <w:rPr>
          <w:rFonts w:hint="eastAsia" w:ascii="宋体" w:hAnsi="宋体" w:cs="宋体"/>
          <w:bCs/>
          <w:color w:val="auto"/>
          <w:sz w:val="24"/>
          <w:szCs w:val="24"/>
          <w:lang w:eastAsia="zh-CN"/>
        </w:rPr>
        <w:t>需有广州售后人员。否则，由此引发的所有损失由中标人负责。（投标人提供承诺函）</w:t>
      </w:r>
    </w:p>
    <w:p>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8</w:t>
      </w:r>
      <w:r>
        <w:rPr>
          <w:rFonts w:hint="eastAsia" w:ascii="宋体" w:hAnsi="宋体" w:cs="宋体"/>
          <w:bCs/>
          <w:color w:val="auto"/>
          <w:sz w:val="24"/>
          <w:szCs w:val="24"/>
          <w:lang w:eastAsia="zh-CN"/>
        </w:rPr>
        <w:t>）▲投标人在投标时，需提供所投设备原厂加盖公章的授权函。否则由此引发的所有损失由中标人负责。</w:t>
      </w:r>
    </w:p>
    <w:p>
      <w:pPr>
        <w:pStyle w:val="24"/>
        <w:spacing w:line="360" w:lineRule="auto"/>
        <w:ind w:firstLine="566" w:firstLineChars="236"/>
        <w:rPr>
          <w:rFonts w:ascii="宋体" w:hAnsi="宋体" w:cs="宋体"/>
          <w:bCs/>
          <w:color w:val="auto"/>
          <w:sz w:val="24"/>
          <w:szCs w:val="24"/>
        </w:rPr>
      </w:pPr>
      <w:r>
        <w:rPr>
          <w:rFonts w:hint="eastAsia" w:ascii="宋体" w:hAnsi="宋体" w:cs="宋体"/>
          <w:bCs/>
          <w:color w:val="auto"/>
          <w:sz w:val="24"/>
          <w:szCs w:val="24"/>
        </w:rPr>
        <w:t>（</w:t>
      </w:r>
      <w:r>
        <w:rPr>
          <w:rFonts w:hint="eastAsia" w:ascii="宋体" w:hAnsi="宋体" w:cs="宋体"/>
          <w:bCs/>
          <w:color w:val="auto"/>
          <w:sz w:val="24"/>
          <w:szCs w:val="24"/>
          <w:lang w:val="en-US" w:eastAsia="zh-CN"/>
        </w:rPr>
        <w:t>9</w:t>
      </w:r>
      <w:r>
        <w:rPr>
          <w:rFonts w:hint="eastAsia" w:ascii="宋体" w:hAnsi="宋体" w:cs="宋体"/>
          <w:bCs/>
          <w:color w:val="auto"/>
          <w:sz w:val="24"/>
          <w:szCs w:val="24"/>
        </w:rPr>
        <w:t>）投标人在投标时提供产品样册证明，招标人将对到货产品进行现场核验，如发现实际参数与投标参数不一致时，将视为投标人存在弄虚作假行为，取消中标资格。</w:t>
      </w:r>
    </w:p>
    <w:p>
      <w:pPr>
        <w:pStyle w:val="2"/>
        <w:spacing w:line="360" w:lineRule="auto"/>
        <w:rPr>
          <w:rFonts w:ascii="宋体" w:hAnsi="宋体" w:cs="宋体"/>
          <w:color w:val="auto"/>
        </w:rPr>
      </w:pPr>
      <w:r>
        <w:rPr>
          <w:rFonts w:hint="eastAsia" w:ascii="宋体" w:hAnsi="宋体" w:cs="宋体"/>
          <w:color w:val="auto"/>
        </w:rPr>
        <w:t>商务要求：</w:t>
      </w:r>
    </w:p>
    <w:p>
      <w:pPr>
        <w:pStyle w:val="3"/>
        <w:spacing w:line="360" w:lineRule="auto"/>
        <w:rPr>
          <w:rFonts w:ascii="宋体" w:hAnsi="宋体" w:eastAsia="宋体" w:cs="宋体"/>
          <w:color w:val="auto"/>
        </w:rPr>
      </w:pPr>
      <w:r>
        <w:rPr>
          <w:rFonts w:hint="eastAsia" w:ascii="宋体" w:hAnsi="宋体" w:eastAsia="宋体" w:cs="宋体"/>
          <w:color w:val="auto"/>
        </w:rPr>
        <w:t>安装调试</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1.中标人负责合同下所有设备的安装调试工作，安装调试中所涉费用由中标人自行承担。在安装调试期间所发生的中标人人员的交通费、食宿费用等由中标人自行承担。</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2.中标人应派足够、技术熟练且具备相应资质的技术人员到现场进行设备安装调试工作。现场工作期间，中标人应对安装现场的其他设备、设施有良好保护措施，如因中标人原因造成招标人安装场地或安装场地内其他设备、设施损坏的，中标人承担全部赔偿责任。</w:t>
      </w:r>
    </w:p>
    <w:p>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3.中标人需在合同设备送达招标人指定地点并完成安装调试后为招标人的相关操作人员提供设备操作、维护培训，以确保招标人相关操作人员能够正确、熟练掌握产品的设备操作方法、日常维护知识及简单的故障排除。培训的主要内容为设备的基本结构、性能、主要部件的构造及修理、日常使用保养与管理、常见故障的排除、紧急情况的处理等，培训地点主要在设备安装现场或由招标人安排。在培训期间所发生的中标人人员的交通费、食宿费用、培训及其他相关费用等已包含在合同设备总价内。</w:t>
      </w:r>
    </w:p>
    <w:p>
      <w:pPr>
        <w:pStyle w:val="3"/>
        <w:spacing w:line="360" w:lineRule="auto"/>
        <w:rPr>
          <w:rFonts w:ascii="宋体" w:hAnsi="宋体" w:eastAsia="宋体" w:cs="宋体"/>
          <w:color w:val="auto"/>
        </w:rPr>
      </w:pPr>
      <w:r>
        <w:rPr>
          <w:rFonts w:hint="eastAsia" w:ascii="宋体" w:hAnsi="宋体" w:eastAsia="宋体" w:cs="宋体"/>
          <w:color w:val="auto"/>
        </w:rPr>
        <w:t>项目交付的时间和地点</w:t>
      </w:r>
    </w:p>
    <w:p>
      <w:pPr>
        <w:numPr>
          <w:ilvl w:val="0"/>
          <w:numId w:val="11"/>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交付的时间：</w:t>
      </w:r>
      <w:r>
        <w:rPr>
          <w:rFonts w:hint="eastAsia" w:ascii="宋体" w:hAnsi="宋体" w:cs="宋体"/>
          <w:color w:val="auto"/>
          <w:kern w:val="2"/>
          <w:szCs w:val="24"/>
          <w:u w:val="single"/>
        </w:rPr>
        <w:t>自合同签订之日起30日历天内</w:t>
      </w:r>
      <w:r>
        <w:rPr>
          <w:rFonts w:hint="eastAsia" w:ascii="宋体" w:hAnsi="宋体" w:cs="宋体"/>
          <w:color w:val="auto"/>
        </w:rPr>
        <w:t>。</w:t>
      </w:r>
    </w:p>
    <w:p>
      <w:pPr>
        <w:numPr>
          <w:ilvl w:val="0"/>
          <w:numId w:val="11"/>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交付的地点：</w:t>
      </w:r>
      <w:r>
        <w:rPr>
          <w:rFonts w:hint="eastAsia" w:ascii="宋体" w:hAnsi="宋体" w:cs="宋体"/>
          <w:color w:val="auto"/>
          <w:u w:val="single"/>
        </w:rPr>
        <w:t>广东省广州市黄埔区长贤路55号广州医科大学附属第三医院黄埔分院</w:t>
      </w:r>
      <w:r>
        <w:rPr>
          <w:rFonts w:hint="eastAsia" w:ascii="宋体" w:hAnsi="宋体" w:cs="宋体"/>
          <w:color w:val="auto"/>
          <w:szCs w:val="24"/>
        </w:rPr>
        <w:t>。</w:t>
      </w:r>
    </w:p>
    <w:p>
      <w:pPr>
        <w:pStyle w:val="3"/>
        <w:spacing w:line="360" w:lineRule="auto"/>
        <w:rPr>
          <w:rFonts w:ascii="宋体" w:hAnsi="宋体" w:eastAsia="宋体" w:cs="宋体"/>
          <w:color w:val="auto"/>
        </w:rPr>
      </w:pPr>
      <w:r>
        <w:rPr>
          <w:rFonts w:hint="eastAsia" w:ascii="宋体" w:hAnsi="宋体" w:eastAsia="宋体" w:cs="宋体"/>
          <w:color w:val="auto"/>
        </w:rPr>
        <w:t>售后服务</w:t>
      </w:r>
    </w:p>
    <w:p>
      <w:pPr>
        <w:numPr>
          <w:ilvl w:val="0"/>
          <w:numId w:val="12"/>
        </w:numPr>
        <w:tabs>
          <w:tab w:val="left" w:pos="2340"/>
        </w:tabs>
        <w:autoSpaceDE/>
        <w:autoSpaceDN/>
        <w:snapToGrid w:val="0"/>
        <w:jc w:val="both"/>
        <w:rPr>
          <w:rFonts w:ascii="宋体" w:hAnsi="宋体" w:cs="宋体"/>
          <w:color w:val="auto"/>
          <w:szCs w:val="24"/>
        </w:rPr>
      </w:pPr>
      <w:r>
        <w:rPr>
          <w:rFonts w:hint="eastAsia" w:ascii="宋体" w:hAnsi="宋体" w:cs="宋体"/>
          <w:color w:val="auto"/>
        </w:rPr>
        <w:t>★保修期：安装服务与整机质保</w:t>
      </w:r>
      <w:r>
        <w:rPr>
          <w:rFonts w:hint="eastAsia" w:ascii="宋体" w:hAnsi="宋体" w:cs="宋体"/>
          <w:color w:val="auto"/>
          <w:lang w:val="en-US" w:eastAsia="zh-CN"/>
        </w:rPr>
        <w:t>≥3</w:t>
      </w:r>
      <w:r>
        <w:rPr>
          <w:rFonts w:hint="eastAsia" w:ascii="宋体" w:hAnsi="宋体" w:cs="宋体"/>
          <w:color w:val="auto"/>
        </w:rPr>
        <w:t>年。</w:t>
      </w:r>
    </w:p>
    <w:p>
      <w:pPr>
        <w:numPr>
          <w:ilvl w:val="0"/>
          <w:numId w:val="12"/>
        </w:numPr>
        <w:snapToGrid w:val="0"/>
        <w:jc w:val="both"/>
        <w:rPr>
          <w:rFonts w:ascii="宋体" w:hAnsi="宋体" w:cs="宋体"/>
          <w:color w:val="auto"/>
        </w:rPr>
      </w:pPr>
      <w:r>
        <w:rPr>
          <w:rFonts w:hint="eastAsia" w:ascii="宋体" w:hAnsi="宋体" w:cs="宋体"/>
          <w:color w:val="auto"/>
        </w:rPr>
        <w:t>售后服务要求：质保期内，接到采购人维修通知后，供应商或厂家需要在2小时内到达现场，8小时内排除故障，如需更换配件的需要在2天内解决</w:t>
      </w:r>
      <w:r>
        <w:rPr>
          <w:rFonts w:hint="eastAsia" w:ascii="宋体" w:hAnsi="宋体" w:cs="宋体"/>
          <w:color w:val="auto"/>
          <w:szCs w:val="24"/>
        </w:rPr>
        <w:t>。</w:t>
      </w:r>
    </w:p>
    <w:p>
      <w:pPr>
        <w:pStyle w:val="3"/>
        <w:spacing w:line="360" w:lineRule="auto"/>
        <w:rPr>
          <w:rFonts w:ascii="宋体" w:hAnsi="宋体" w:eastAsia="宋体" w:cs="宋体"/>
          <w:color w:val="auto"/>
        </w:rPr>
      </w:pPr>
      <w:r>
        <w:rPr>
          <w:rFonts w:hint="eastAsia" w:ascii="宋体" w:hAnsi="宋体" w:eastAsia="宋体" w:cs="宋体"/>
          <w:color w:val="auto"/>
        </w:rPr>
        <w:t>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一）本验收由实物验收和调试验收两部分组成。</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二）实物验收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1.中标人应在合同签订之日起15天内将合同设备送达招标人指定地点，招标人应及时组织相关人员进行设备实物的验收。</w:t>
      </w:r>
    </w:p>
    <w:p>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2.中标人应保证所提供设备的包装是原厂包装并确保包装完整。中标人所提供设备包装或防护不良的，招标人有权拒收并要求中标人需在3个工作日内予以更换；若中标人未能在3个工作日内更换符合包装及防护要求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color w:val="auto"/>
          <w:szCs w:val="24"/>
        </w:rPr>
        <w:t>3.设备到达招标人指定地点后，双方应共同就设备的数量、规格型号等是否与合同约定相符进行验收，货物须为原厂商(制造商)未启封的全新包装，具有出厂合格证，序列号、包装箱号，并与出厂批号一致，且可追索查阅。所有随设备的附件必须齐全。中</w:t>
      </w:r>
      <w:r>
        <w:rPr>
          <w:rFonts w:hint="eastAsia" w:ascii="宋体" w:hAnsi="宋体" w:cs="宋体"/>
          <w:bCs/>
          <w:szCs w:val="24"/>
        </w:rPr>
        <w:t>标人应将关键主机设备的用户手册、保修手册、相关资料及配备件、随机工具等交付给招标人，且使用操作及安全须知等重要资料应附有中文说明,并由双方签章确认后实物验收完成。若中标人所提供的设备不符合合同的约定，招标人有权拒收并要求中标人需在3个工作日内予以更换；若中标人未能在3个工作日内更换符合合同约定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szCs w:val="24"/>
        </w:rPr>
        <w:t>三）调试验收</w:t>
      </w:r>
    </w:p>
    <w:p>
      <w:pPr>
        <w:tabs>
          <w:tab w:val="left" w:pos="360"/>
        </w:tabs>
        <w:autoSpaceDE/>
        <w:autoSpaceDN/>
        <w:snapToGrid w:val="0"/>
        <w:ind w:firstLine="480" w:firstLineChars="200"/>
        <w:jc w:val="both"/>
        <w:rPr>
          <w:rFonts w:ascii="宋体" w:hAnsi="宋体" w:cs="宋体"/>
        </w:rPr>
      </w:pPr>
      <w:r>
        <w:rPr>
          <w:rFonts w:hint="eastAsia" w:ascii="宋体" w:hAnsi="宋体" w:cs="宋体"/>
          <w:bCs/>
          <w:szCs w:val="24"/>
        </w:rPr>
        <w:t>1.中标人应保证在合同签订后30天内设备全部安装完毕，并自行将设备调试至正常运行的最佳状态。</w:t>
      </w:r>
    </w:p>
    <w:p>
      <w:pPr>
        <w:autoSpaceDE/>
        <w:autoSpaceDN/>
        <w:snapToGrid w:val="0"/>
        <w:ind w:firstLine="480" w:firstLineChars="200"/>
        <w:jc w:val="both"/>
        <w:rPr>
          <w:rFonts w:ascii="宋体" w:hAnsi="宋体" w:cs="宋体"/>
          <w:bCs/>
          <w:color w:val="auto"/>
          <w:szCs w:val="24"/>
        </w:rPr>
      </w:pPr>
      <w:r>
        <w:rPr>
          <w:rFonts w:hint="eastAsia" w:ascii="宋体" w:hAnsi="宋体" w:cs="宋体"/>
          <w:bCs/>
          <w:szCs w:val="24"/>
        </w:rPr>
        <w:t>2.设备安装调试完成后7天内进行调试验收。中标人应在设备安装调试完成并对招标人相关操作人员进行设备操作、维护培训以使其能正常操作设备后及时通知招标人进行调试验收，调试验收由双方相关人员共同参加，中标人应保证合同下全部设备经安装调试后符合国家规定的相关质量标准、符合厂家的出厂标准、达到采购/招投标文件所述特殊要求同时符合</w:t>
      </w:r>
      <w:r>
        <w:rPr>
          <w:rFonts w:hint="eastAsia" w:ascii="宋体" w:hAnsi="宋体" w:cs="宋体"/>
          <w:bCs/>
          <w:color w:val="auto"/>
          <w:szCs w:val="24"/>
        </w:rPr>
        <w:t>双方约定的标准（如有），并能正常、无妨碍地使用，调试验收合格后由双方签章确认。</w:t>
      </w:r>
    </w:p>
    <w:p>
      <w:pPr>
        <w:pStyle w:val="14"/>
        <w:ind w:firstLine="480" w:firstLineChars="200"/>
        <w:rPr>
          <w:rFonts w:ascii="宋体" w:hAnsi="宋体" w:cs="宋体"/>
          <w:color w:val="auto"/>
          <w:sz w:val="24"/>
        </w:rPr>
      </w:pPr>
      <w:r>
        <w:rPr>
          <w:rFonts w:hint="eastAsia" w:ascii="宋体" w:hAnsi="宋体" w:cs="宋体"/>
          <w:bCs/>
          <w:color w:val="auto"/>
          <w:sz w:val="24"/>
          <w:szCs w:val="24"/>
        </w:rPr>
        <w:t>3.</w:t>
      </w:r>
      <w:r>
        <w:rPr>
          <w:rFonts w:hint="eastAsia" w:ascii="宋体" w:hAnsi="宋体" w:cs="宋体"/>
          <w:color w:val="auto"/>
          <w:sz w:val="24"/>
        </w:rPr>
        <w:t>项目验收标准：</w:t>
      </w:r>
    </w:p>
    <w:p>
      <w:pPr>
        <w:ind w:firstLine="480" w:firstLineChars="200"/>
        <w:rPr>
          <w:rFonts w:ascii="宋体" w:hAnsi="宋体" w:cs="宋体"/>
          <w:color w:val="auto"/>
        </w:rPr>
      </w:pPr>
      <w:r>
        <w:rPr>
          <w:rFonts w:hint="eastAsia" w:ascii="宋体" w:hAnsi="宋体" w:cs="宋体"/>
          <w:color w:val="auto"/>
        </w:rPr>
        <w:t>（1）初验：设备上线后进行初验，由采购单位组织验收，初验标准为各种设备能正常运行。</w:t>
      </w:r>
    </w:p>
    <w:p>
      <w:pPr>
        <w:ind w:firstLine="480" w:firstLineChars="200"/>
        <w:rPr>
          <w:rFonts w:ascii="宋体" w:hAnsi="宋体" w:cs="宋体"/>
          <w:color w:val="auto"/>
        </w:rPr>
      </w:pPr>
      <w:r>
        <w:rPr>
          <w:rFonts w:hint="eastAsia" w:ascii="宋体" w:hAnsi="宋体" w:cs="宋体"/>
          <w:color w:val="auto"/>
        </w:rPr>
        <w:t>（2）终验：1个月试运行后,各种设备运转正常且无质量问题，为验收合格，若不合格，供应商负责维修或更换，并在达到验收条件时，再次向采购人提出验收书面申请。</w:t>
      </w:r>
    </w:p>
    <w:p>
      <w:pPr>
        <w:pStyle w:val="14"/>
        <w:rPr>
          <w:rFonts w:ascii="宋体" w:hAnsi="宋体" w:cs="宋体"/>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04719"/>
    </w:sdtPr>
    <w:sdtContent>
      <w:p>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6DF4A"/>
    <w:multiLevelType w:val="multilevel"/>
    <w:tmpl w:val="95A6DF4A"/>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798"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95C60D5C"/>
    <w:multiLevelType w:val="singleLevel"/>
    <w:tmpl w:val="95C60D5C"/>
    <w:lvl w:ilvl="0" w:tentative="0">
      <w:start w:val="1"/>
      <w:numFmt w:val="bullet"/>
      <w:lvlText w:val=""/>
      <w:lvlJc w:val="left"/>
      <w:pPr>
        <w:ind w:left="420" w:hanging="420"/>
      </w:pPr>
      <w:rPr>
        <w:rFonts w:hint="default" w:ascii="Wingdings" w:hAnsi="Wingdings"/>
      </w:rPr>
    </w:lvl>
  </w:abstractNum>
  <w:abstractNum w:abstractNumId="2">
    <w:nsid w:val="AD30D842"/>
    <w:multiLevelType w:val="multilevel"/>
    <w:tmpl w:val="AD30D84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3">
    <w:nsid w:val="D3233FCE"/>
    <w:multiLevelType w:val="singleLevel"/>
    <w:tmpl w:val="D3233FCE"/>
    <w:lvl w:ilvl="0" w:tentative="0">
      <w:start w:val="1"/>
      <w:numFmt w:val="bullet"/>
      <w:lvlText w:val=""/>
      <w:lvlJc w:val="left"/>
      <w:pPr>
        <w:ind w:left="420" w:hanging="420"/>
      </w:pPr>
      <w:rPr>
        <w:rFonts w:hint="default" w:ascii="Wingdings" w:hAnsi="Wingdings"/>
      </w:rPr>
    </w:lvl>
  </w:abstractNum>
  <w:abstractNum w:abstractNumId="4">
    <w:nsid w:val="0AD3845B"/>
    <w:multiLevelType w:val="singleLevel"/>
    <w:tmpl w:val="0AD3845B"/>
    <w:lvl w:ilvl="0" w:tentative="0">
      <w:start w:val="1"/>
      <w:numFmt w:val="bullet"/>
      <w:lvlText w:val=""/>
      <w:lvlJc w:val="left"/>
      <w:pPr>
        <w:ind w:left="420" w:hanging="420"/>
      </w:pPr>
      <w:rPr>
        <w:rFonts w:hint="default" w:ascii="Wingdings" w:hAnsi="Wingdings"/>
      </w:rPr>
    </w:lvl>
  </w:abstractNum>
  <w:abstractNum w:abstractNumId="5">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1EE7F78"/>
    <w:multiLevelType w:val="multilevel"/>
    <w:tmpl w:val="41EE7F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
    <w:nsid w:val="42418005"/>
    <w:multiLevelType w:val="singleLevel"/>
    <w:tmpl w:val="42418005"/>
    <w:lvl w:ilvl="0" w:tentative="0">
      <w:start w:val="1"/>
      <w:numFmt w:val="decimal"/>
      <w:suff w:val="space"/>
      <w:lvlText w:val="%1."/>
      <w:lvlJc w:val="left"/>
    </w:lvl>
  </w:abstractNum>
  <w:abstractNum w:abstractNumId="8">
    <w:nsid w:val="4D2F1766"/>
    <w:multiLevelType w:val="singleLevel"/>
    <w:tmpl w:val="4D2F1766"/>
    <w:lvl w:ilvl="0" w:tentative="0">
      <w:start w:val="1"/>
      <w:numFmt w:val="decimal"/>
      <w:suff w:val="space"/>
      <w:lvlText w:val="%1."/>
      <w:lvlJc w:val="left"/>
    </w:lvl>
  </w:abstractNum>
  <w:abstractNum w:abstractNumId="9">
    <w:nsid w:val="55B541AC"/>
    <w:multiLevelType w:val="multilevel"/>
    <w:tmpl w:val="55B541A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0">
    <w:nsid w:val="660AE0C9"/>
    <w:multiLevelType w:val="singleLevel"/>
    <w:tmpl w:val="660AE0C9"/>
    <w:lvl w:ilvl="0" w:tentative="0">
      <w:start w:val="1"/>
      <w:numFmt w:val="decimal"/>
      <w:suff w:val="space"/>
      <w:lvlText w:val="%1."/>
      <w:lvlJc w:val="left"/>
    </w:lvl>
  </w:abstractNum>
  <w:abstractNum w:abstractNumId="11">
    <w:nsid w:val="6D7EAC98"/>
    <w:multiLevelType w:val="singleLevel"/>
    <w:tmpl w:val="6D7EAC98"/>
    <w:lvl w:ilvl="0" w:tentative="0">
      <w:start w:val="1"/>
      <w:numFmt w:val="bullet"/>
      <w:lvlText w:val=""/>
      <w:lvlJc w:val="left"/>
      <w:pPr>
        <w:ind w:left="420" w:hanging="420"/>
      </w:pPr>
      <w:rPr>
        <w:rFonts w:hint="default" w:ascii="Wingdings" w:hAnsi="Wingdings"/>
      </w:rPr>
    </w:lvl>
  </w:abstractNum>
  <w:num w:numId="1">
    <w:abstractNumId w:val="0"/>
  </w:num>
  <w:num w:numId="2">
    <w:abstractNumId w:val="5"/>
  </w:num>
  <w:num w:numId="3">
    <w:abstractNumId w:val="2"/>
  </w:num>
  <w:num w:numId="4">
    <w:abstractNumId w:val="1"/>
  </w:num>
  <w:num w:numId="5">
    <w:abstractNumId w:val="11"/>
  </w:num>
  <w:num w:numId="6">
    <w:abstractNumId w:val="3"/>
  </w:num>
  <w:num w:numId="7">
    <w:abstractNumId w:val="4"/>
  </w:num>
  <w:num w:numId="8">
    <w:abstractNumId w:val="8"/>
  </w:num>
  <w:num w:numId="9">
    <w:abstractNumId w:val="10"/>
  </w:num>
  <w:num w:numId="10">
    <w:abstractNumId w:val="7"/>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MGY5ZjIzMDNkOGJkMDk5MGY1NmFhYjE2OTEyODcifQ=="/>
    <w:docVar w:name="KSO_WPS_MARK_KEY" w:val="3443d758-7bd8-4ac0-9d3a-1757f86c8a6f"/>
  </w:docVars>
  <w:rsids>
    <w:rsidRoot w:val="19A81A65"/>
    <w:rsid w:val="00055BEC"/>
    <w:rsid w:val="00093F6E"/>
    <w:rsid w:val="000A4A67"/>
    <w:rsid w:val="000A6C04"/>
    <w:rsid w:val="00115FE5"/>
    <w:rsid w:val="001341BC"/>
    <w:rsid w:val="0015134E"/>
    <w:rsid w:val="001751C4"/>
    <w:rsid w:val="0019471B"/>
    <w:rsid w:val="001B3324"/>
    <w:rsid w:val="001B41F9"/>
    <w:rsid w:val="001D6008"/>
    <w:rsid w:val="00224F79"/>
    <w:rsid w:val="00233D23"/>
    <w:rsid w:val="0027739F"/>
    <w:rsid w:val="00285831"/>
    <w:rsid w:val="002B3546"/>
    <w:rsid w:val="002D2D73"/>
    <w:rsid w:val="002E2148"/>
    <w:rsid w:val="002E3E4F"/>
    <w:rsid w:val="002F7102"/>
    <w:rsid w:val="003205B0"/>
    <w:rsid w:val="00335F05"/>
    <w:rsid w:val="00351682"/>
    <w:rsid w:val="003745FF"/>
    <w:rsid w:val="0039638B"/>
    <w:rsid w:val="003A2525"/>
    <w:rsid w:val="003A305C"/>
    <w:rsid w:val="00420393"/>
    <w:rsid w:val="00426EAD"/>
    <w:rsid w:val="0048195A"/>
    <w:rsid w:val="004E2516"/>
    <w:rsid w:val="004E6B22"/>
    <w:rsid w:val="005375DF"/>
    <w:rsid w:val="0057086B"/>
    <w:rsid w:val="0058196A"/>
    <w:rsid w:val="005B7E78"/>
    <w:rsid w:val="006469A4"/>
    <w:rsid w:val="006E39AC"/>
    <w:rsid w:val="00734BD4"/>
    <w:rsid w:val="00754BBB"/>
    <w:rsid w:val="00762ED4"/>
    <w:rsid w:val="007C1083"/>
    <w:rsid w:val="007C77BC"/>
    <w:rsid w:val="007F0B6B"/>
    <w:rsid w:val="007F3917"/>
    <w:rsid w:val="00883C00"/>
    <w:rsid w:val="008966A6"/>
    <w:rsid w:val="008D7B5C"/>
    <w:rsid w:val="00907EB4"/>
    <w:rsid w:val="009221D7"/>
    <w:rsid w:val="00943E4F"/>
    <w:rsid w:val="00976683"/>
    <w:rsid w:val="009870FB"/>
    <w:rsid w:val="009907BD"/>
    <w:rsid w:val="009913BC"/>
    <w:rsid w:val="009E5FF4"/>
    <w:rsid w:val="00A122FD"/>
    <w:rsid w:val="00A304C3"/>
    <w:rsid w:val="00A6705F"/>
    <w:rsid w:val="00A73669"/>
    <w:rsid w:val="00AE461E"/>
    <w:rsid w:val="00B234B3"/>
    <w:rsid w:val="00B35838"/>
    <w:rsid w:val="00B64D94"/>
    <w:rsid w:val="00B71A35"/>
    <w:rsid w:val="00B93522"/>
    <w:rsid w:val="00C0489E"/>
    <w:rsid w:val="00C1233F"/>
    <w:rsid w:val="00C16565"/>
    <w:rsid w:val="00C21898"/>
    <w:rsid w:val="00C4131D"/>
    <w:rsid w:val="00C75703"/>
    <w:rsid w:val="00CA04EA"/>
    <w:rsid w:val="00CB4AC7"/>
    <w:rsid w:val="00CF6FDA"/>
    <w:rsid w:val="00D60BAA"/>
    <w:rsid w:val="00D637A9"/>
    <w:rsid w:val="00D67765"/>
    <w:rsid w:val="00D95C48"/>
    <w:rsid w:val="00D97377"/>
    <w:rsid w:val="00DB5E1E"/>
    <w:rsid w:val="00E273D8"/>
    <w:rsid w:val="00E76872"/>
    <w:rsid w:val="00E80EDF"/>
    <w:rsid w:val="00E92F6F"/>
    <w:rsid w:val="00EF0FF0"/>
    <w:rsid w:val="00F07C92"/>
    <w:rsid w:val="00F50754"/>
    <w:rsid w:val="00F55D03"/>
    <w:rsid w:val="00F70BAD"/>
    <w:rsid w:val="01927028"/>
    <w:rsid w:val="05C6318B"/>
    <w:rsid w:val="05D830A9"/>
    <w:rsid w:val="06564BBE"/>
    <w:rsid w:val="070036C2"/>
    <w:rsid w:val="07F820DC"/>
    <w:rsid w:val="08646E76"/>
    <w:rsid w:val="08D72F06"/>
    <w:rsid w:val="0949085A"/>
    <w:rsid w:val="099B0984"/>
    <w:rsid w:val="0E9B4C74"/>
    <w:rsid w:val="0EEA388F"/>
    <w:rsid w:val="0FC94EEE"/>
    <w:rsid w:val="118957EE"/>
    <w:rsid w:val="12BB699F"/>
    <w:rsid w:val="14D97769"/>
    <w:rsid w:val="154174F4"/>
    <w:rsid w:val="15677277"/>
    <w:rsid w:val="15C2006F"/>
    <w:rsid w:val="16467111"/>
    <w:rsid w:val="16D0087C"/>
    <w:rsid w:val="18744285"/>
    <w:rsid w:val="187B7395"/>
    <w:rsid w:val="19132971"/>
    <w:rsid w:val="19A81A65"/>
    <w:rsid w:val="19B87D8A"/>
    <w:rsid w:val="1ABD6D48"/>
    <w:rsid w:val="1AD06E1C"/>
    <w:rsid w:val="1BB609CB"/>
    <w:rsid w:val="1C481D12"/>
    <w:rsid w:val="1D9751F1"/>
    <w:rsid w:val="1E5A7ADD"/>
    <w:rsid w:val="1E7352C5"/>
    <w:rsid w:val="1F0C7DFB"/>
    <w:rsid w:val="2091403A"/>
    <w:rsid w:val="21180114"/>
    <w:rsid w:val="215D74B4"/>
    <w:rsid w:val="232A272E"/>
    <w:rsid w:val="25E519B5"/>
    <w:rsid w:val="267F60DE"/>
    <w:rsid w:val="27457FBA"/>
    <w:rsid w:val="29151C7E"/>
    <w:rsid w:val="29D21253"/>
    <w:rsid w:val="2AF228E9"/>
    <w:rsid w:val="2B481888"/>
    <w:rsid w:val="2BA2543C"/>
    <w:rsid w:val="2D4C117B"/>
    <w:rsid w:val="2E686F9E"/>
    <w:rsid w:val="30D65675"/>
    <w:rsid w:val="31F13E96"/>
    <w:rsid w:val="31F5377C"/>
    <w:rsid w:val="322C488A"/>
    <w:rsid w:val="332826CA"/>
    <w:rsid w:val="33C80225"/>
    <w:rsid w:val="354B0474"/>
    <w:rsid w:val="368316BE"/>
    <w:rsid w:val="37F012DD"/>
    <w:rsid w:val="38CA6E75"/>
    <w:rsid w:val="39AA24F1"/>
    <w:rsid w:val="3A3F7873"/>
    <w:rsid w:val="3A420ED3"/>
    <w:rsid w:val="3A695377"/>
    <w:rsid w:val="3E1D7CEA"/>
    <w:rsid w:val="3EC75D2D"/>
    <w:rsid w:val="3FF11EBC"/>
    <w:rsid w:val="40F260C6"/>
    <w:rsid w:val="413E2ECE"/>
    <w:rsid w:val="415308DD"/>
    <w:rsid w:val="41B31BFE"/>
    <w:rsid w:val="44DE4948"/>
    <w:rsid w:val="47195F8F"/>
    <w:rsid w:val="48D805C0"/>
    <w:rsid w:val="49215F10"/>
    <w:rsid w:val="4AD1549C"/>
    <w:rsid w:val="4BC71ED7"/>
    <w:rsid w:val="4DBE3EFF"/>
    <w:rsid w:val="4DC13902"/>
    <w:rsid w:val="4DD627C8"/>
    <w:rsid w:val="4E5559AC"/>
    <w:rsid w:val="4EA27608"/>
    <w:rsid w:val="4EE76455"/>
    <w:rsid w:val="4F1E2845"/>
    <w:rsid w:val="4F790CE8"/>
    <w:rsid w:val="52D44887"/>
    <w:rsid w:val="52E635B0"/>
    <w:rsid w:val="5325435C"/>
    <w:rsid w:val="53650979"/>
    <w:rsid w:val="53A21694"/>
    <w:rsid w:val="53C20C47"/>
    <w:rsid w:val="54617393"/>
    <w:rsid w:val="569B3F36"/>
    <w:rsid w:val="56CB217C"/>
    <w:rsid w:val="59A90807"/>
    <w:rsid w:val="59B750AA"/>
    <w:rsid w:val="5AD07C78"/>
    <w:rsid w:val="5AF306ED"/>
    <w:rsid w:val="5B7C71A8"/>
    <w:rsid w:val="5C8B32FC"/>
    <w:rsid w:val="5CFB2BEE"/>
    <w:rsid w:val="60CD295D"/>
    <w:rsid w:val="622131BD"/>
    <w:rsid w:val="62680BB8"/>
    <w:rsid w:val="645A6D39"/>
    <w:rsid w:val="65567251"/>
    <w:rsid w:val="65A2163C"/>
    <w:rsid w:val="69B93835"/>
    <w:rsid w:val="6A701C86"/>
    <w:rsid w:val="6D27714C"/>
    <w:rsid w:val="6F70172E"/>
    <w:rsid w:val="701F2C46"/>
    <w:rsid w:val="70D11876"/>
    <w:rsid w:val="72164118"/>
    <w:rsid w:val="72A44684"/>
    <w:rsid w:val="73D21C51"/>
    <w:rsid w:val="74A0140B"/>
    <w:rsid w:val="768E1D0F"/>
    <w:rsid w:val="76D35ABC"/>
    <w:rsid w:val="799B469D"/>
    <w:rsid w:val="79F457A7"/>
    <w:rsid w:val="79FC505E"/>
    <w:rsid w:val="7A447EF2"/>
    <w:rsid w:val="7B8D7482"/>
    <w:rsid w:val="7CDB6BAF"/>
    <w:rsid w:val="7D2C5EE0"/>
    <w:rsid w:val="7E610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2">
    <w:name w:val="heading 1"/>
    <w:basedOn w:val="1"/>
    <w:next w:val="1"/>
    <w:link w:val="25"/>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4"/>
    <w:link w:val="29"/>
    <w:qFormat/>
    <w:uiPriority w:val="0"/>
    <w:pPr>
      <w:keepNext/>
      <w:keepLines/>
      <w:numPr>
        <w:ilvl w:val="1"/>
        <w:numId w:val="1"/>
      </w:numPr>
      <w:autoSpaceDE/>
      <w:autoSpaceDN/>
      <w:adjustRightInd/>
      <w:spacing w:before="260" w:after="260" w:line="416" w:lineRule="auto"/>
      <w:jc w:val="both"/>
      <w:outlineLvl w:val="1"/>
    </w:pPr>
    <w:rPr>
      <w:rFonts w:ascii="Arial" w:hAnsi="Arial" w:eastAsia="黑体"/>
      <w:b/>
      <w:bCs/>
      <w:kern w:val="2"/>
      <w:sz w:val="32"/>
      <w:szCs w:val="32"/>
    </w:rPr>
  </w:style>
  <w:style w:type="paragraph" w:styleId="5">
    <w:name w:val="heading 3"/>
    <w:basedOn w:val="1"/>
    <w:next w:val="4"/>
    <w:link w:val="31"/>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32"/>
    <w:unhideWhenUsed/>
    <w:qFormat/>
    <w:uiPriority w:val="0"/>
    <w:pPr>
      <w:keepNext/>
      <w:keepLines/>
      <w:numPr>
        <w:ilvl w:val="3"/>
        <w:numId w:val="1"/>
      </w:numPr>
      <w:spacing w:before="280" w:after="290" w:line="376" w:lineRule="auto"/>
      <w:ind w:left="0"/>
      <w:outlineLvl w:val="3"/>
    </w:pPr>
    <w:rPr>
      <w:rFonts w:asciiTheme="majorHAnsi" w:hAnsiTheme="majorHAnsi" w:eastAsiaTheme="majorEastAsia" w:cstheme="majorBidi"/>
      <w:b/>
      <w:bCs/>
      <w:sz w:val="28"/>
      <w:szCs w:val="28"/>
    </w:rPr>
  </w:style>
  <w:style w:type="paragraph" w:styleId="7">
    <w:name w:val="heading 5"/>
    <w:basedOn w:val="1"/>
    <w:next w:val="1"/>
    <w:link w:val="33"/>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semiHidden/>
    <w:unhideWhenUsed/>
    <w:qFormat/>
    <w:uiPriority w:val="0"/>
    <w:pPr>
      <w:keepNext/>
      <w:keepLines/>
      <w:numPr>
        <w:ilvl w:val="5"/>
        <w:numId w:val="1"/>
      </w:numPr>
      <w:spacing w:line="317" w:lineRule="auto"/>
      <w:outlineLvl w:val="5"/>
    </w:pPr>
    <w:rPr>
      <w:rFonts w:ascii="Arial" w:hAnsi="Arial" w:eastAsia="黑体"/>
      <w:b/>
    </w:rPr>
  </w:style>
  <w:style w:type="paragraph" w:styleId="9">
    <w:name w:val="heading 7"/>
    <w:basedOn w:val="1"/>
    <w:next w:val="1"/>
    <w:semiHidden/>
    <w:unhideWhenUsed/>
    <w:qFormat/>
    <w:uiPriority w:val="0"/>
    <w:pPr>
      <w:keepNext/>
      <w:keepLines/>
      <w:numPr>
        <w:ilvl w:val="6"/>
        <w:numId w:val="1"/>
      </w:numPr>
      <w:spacing w:line="317" w:lineRule="auto"/>
      <w:outlineLvl w:val="6"/>
    </w:pPr>
    <w:rPr>
      <w:b/>
    </w:rPr>
  </w:style>
  <w:style w:type="paragraph" w:styleId="10">
    <w:name w:val="heading 8"/>
    <w:basedOn w:val="1"/>
    <w:next w:val="1"/>
    <w:semiHidden/>
    <w:unhideWhenUsed/>
    <w:qFormat/>
    <w:uiPriority w:val="0"/>
    <w:pPr>
      <w:keepNext/>
      <w:keepLines/>
      <w:numPr>
        <w:ilvl w:val="7"/>
        <w:numId w:val="1"/>
      </w:numPr>
      <w:spacing w:line="317" w:lineRule="auto"/>
      <w:outlineLvl w:val="7"/>
    </w:pPr>
    <w:rPr>
      <w:rFonts w:ascii="Arial" w:hAnsi="Arial" w:eastAsia="黑体"/>
    </w:rPr>
  </w:style>
  <w:style w:type="paragraph" w:styleId="11">
    <w:name w:val="heading 9"/>
    <w:basedOn w:val="1"/>
    <w:next w:val="1"/>
    <w:semiHidden/>
    <w:unhideWhenUsed/>
    <w:qFormat/>
    <w:uiPriority w:val="0"/>
    <w:pPr>
      <w:keepNext/>
      <w:keepLines/>
      <w:numPr>
        <w:ilvl w:val="8"/>
        <w:numId w:val="1"/>
      </w:numPr>
      <w:spacing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12">
    <w:name w:val="annotation text"/>
    <w:basedOn w:val="1"/>
    <w:link w:val="35"/>
    <w:qFormat/>
    <w:uiPriority w:val="0"/>
  </w:style>
  <w:style w:type="paragraph" w:styleId="13">
    <w:name w:val="Balloon Text"/>
    <w:basedOn w:val="1"/>
    <w:link w:val="34"/>
    <w:qFormat/>
    <w:uiPriority w:val="0"/>
    <w:rPr>
      <w:sz w:val="18"/>
      <w:szCs w:val="18"/>
    </w:rPr>
  </w:style>
  <w:style w:type="paragraph" w:styleId="14">
    <w:name w:val="footer"/>
    <w:basedOn w:val="1"/>
    <w:link w:val="37"/>
    <w:qFormat/>
    <w:uiPriority w:val="99"/>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Indent 3"/>
    <w:basedOn w:val="1"/>
    <w:qFormat/>
    <w:uiPriority w:val="0"/>
    <w:pPr>
      <w:spacing w:after="120"/>
      <w:ind w:left="420" w:leftChars="200"/>
    </w:pPr>
    <w:rPr>
      <w:sz w:val="16"/>
      <w:szCs w:val="16"/>
    </w:rPr>
  </w:style>
  <w:style w:type="paragraph" w:styleId="17">
    <w:name w:val="Normal (Web)"/>
    <w:basedOn w:val="1"/>
    <w:qFormat/>
    <w:uiPriority w:val="99"/>
    <w:pPr>
      <w:spacing w:before="100" w:beforeAutospacing="1" w:after="100" w:afterAutospacing="1"/>
    </w:pPr>
    <w:rPr>
      <w:rFonts w:ascii="宋体"/>
      <w:kern w:val="2"/>
    </w:rPr>
  </w:style>
  <w:style w:type="paragraph" w:styleId="18">
    <w:name w:val="annotation subject"/>
    <w:basedOn w:val="12"/>
    <w:next w:val="12"/>
    <w:link w:val="36"/>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annotation reference"/>
    <w:basedOn w:val="21"/>
    <w:qFormat/>
    <w:uiPriority w:val="0"/>
    <w:rPr>
      <w:sz w:val="21"/>
      <w:szCs w:val="21"/>
    </w:rPr>
  </w:style>
  <w:style w:type="paragraph" w:customStyle="1" w:styleId="24">
    <w:name w:val="正文正"/>
    <w:basedOn w:val="1"/>
    <w:qFormat/>
    <w:uiPriority w:val="0"/>
    <w:pPr>
      <w:spacing w:line="560" w:lineRule="exact"/>
      <w:ind w:firstLine="561"/>
    </w:pPr>
    <w:rPr>
      <w:rFonts w:ascii="Calibri" w:hAnsi="Calibri"/>
      <w:sz w:val="28"/>
      <w:szCs w:val="28"/>
    </w:rPr>
  </w:style>
  <w:style w:type="character" w:customStyle="1" w:styleId="25">
    <w:name w:val="标题 1 Char"/>
    <w:basedOn w:val="21"/>
    <w:link w:val="2"/>
    <w:qFormat/>
    <w:uiPriority w:val="9"/>
    <w:rPr>
      <w:b/>
      <w:kern w:val="44"/>
      <w:sz w:val="44"/>
    </w:rPr>
  </w:style>
  <w:style w:type="paragraph" w:customStyle="1" w:styleId="26">
    <w:name w:val="_Style 3"/>
    <w:basedOn w:val="1"/>
    <w:next w:val="16"/>
    <w:qFormat/>
    <w:uiPriority w:val="0"/>
    <w:pPr>
      <w:spacing w:line="480" w:lineRule="exact"/>
      <w:ind w:firstLine="560"/>
    </w:pPr>
    <w:rPr>
      <w:rFonts w:ascii="宋体" w:hAnsi="宋体"/>
      <w:color w:val="000000"/>
      <w:sz w:val="28"/>
    </w:rPr>
  </w:style>
  <w:style w:type="paragraph" w:styleId="27">
    <w:name w:val="No Spacing"/>
    <w:basedOn w:val="1"/>
    <w:qFormat/>
    <w:uiPriority w:val="1"/>
  </w:style>
  <w:style w:type="paragraph" w:customStyle="1" w:styleId="2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29">
    <w:name w:val="标题 2 Char"/>
    <w:basedOn w:val="21"/>
    <w:link w:val="3"/>
    <w:qFormat/>
    <w:uiPriority w:val="0"/>
    <w:rPr>
      <w:rFonts w:ascii="Arial" w:hAnsi="Arial" w:eastAsia="黑体"/>
      <w:b/>
      <w:bCs/>
      <w:kern w:val="2"/>
      <w:sz w:val="32"/>
      <w:szCs w:val="32"/>
    </w:rPr>
  </w:style>
  <w:style w:type="paragraph" w:styleId="30">
    <w:name w:val="List Paragraph"/>
    <w:basedOn w:val="1"/>
    <w:qFormat/>
    <w:uiPriority w:val="34"/>
    <w:pPr>
      <w:ind w:firstLine="420" w:firstLineChars="200"/>
    </w:pPr>
  </w:style>
  <w:style w:type="character" w:customStyle="1" w:styleId="31">
    <w:name w:val="标题 3 Char"/>
    <w:basedOn w:val="21"/>
    <w:link w:val="5"/>
    <w:qFormat/>
    <w:uiPriority w:val="0"/>
    <w:rPr>
      <w:b/>
      <w:bCs/>
      <w:sz w:val="32"/>
      <w:szCs w:val="32"/>
    </w:rPr>
  </w:style>
  <w:style w:type="character" w:customStyle="1" w:styleId="32">
    <w:name w:val="标题 4 Char"/>
    <w:basedOn w:val="21"/>
    <w:link w:val="6"/>
    <w:qFormat/>
    <w:uiPriority w:val="0"/>
    <w:rPr>
      <w:rFonts w:asciiTheme="majorHAnsi" w:hAnsiTheme="majorHAnsi" w:eastAsiaTheme="majorEastAsia" w:cstheme="majorBidi"/>
      <w:b/>
      <w:bCs/>
      <w:sz w:val="28"/>
      <w:szCs w:val="28"/>
    </w:rPr>
  </w:style>
  <w:style w:type="character" w:customStyle="1" w:styleId="33">
    <w:name w:val="标题 5 Char"/>
    <w:basedOn w:val="21"/>
    <w:link w:val="7"/>
    <w:qFormat/>
    <w:uiPriority w:val="0"/>
    <w:rPr>
      <w:b/>
      <w:bCs/>
      <w:sz w:val="28"/>
      <w:szCs w:val="28"/>
    </w:rPr>
  </w:style>
  <w:style w:type="character" w:customStyle="1" w:styleId="34">
    <w:name w:val="批注框文本 Char"/>
    <w:basedOn w:val="21"/>
    <w:link w:val="13"/>
    <w:qFormat/>
    <w:uiPriority w:val="0"/>
    <w:rPr>
      <w:sz w:val="18"/>
      <w:szCs w:val="18"/>
    </w:rPr>
  </w:style>
  <w:style w:type="character" w:customStyle="1" w:styleId="35">
    <w:name w:val="批注文字 Char"/>
    <w:basedOn w:val="21"/>
    <w:link w:val="12"/>
    <w:qFormat/>
    <w:uiPriority w:val="0"/>
  </w:style>
  <w:style w:type="character" w:customStyle="1" w:styleId="36">
    <w:name w:val="批注主题 Char"/>
    <w:basedOn w:val="35"/>
    <w:link w:val="18"/>
    <w:qFormat/>
    <w:uiPriority w:val="0"/>
    <w:rPr>
      <w:b/>
      <w:bCs/>
    </w:rPr>
  </w:style>
  <w:style w:type="character" w:customStyle="1" w:styleId="37">
    <w:name w:val="页脚 Char"/>
    <w:basedOn w:val="21"/>
    <w:link w:val="14"/>
    <w:qFormat/>
    <w:uiPriority w:val="99"/>
    <w:rPr>
      <w:sz w:val="18"/>
    </w:rPr>
  </w:style>
  <w:style w:type="paragraph" w:customStyle="1" w:styleId="38">
    <w:name w:val="(标书)正文 Char"/>
    <w:basedOn w:val="1"/>
    <w:qFormat/>
    <w:uiPriority w:val="0"/>
    <w:pPr>
      <w:ind w:firstLine="520" w:firstLineChars="200"/>
    </w:pPr>
    <w:rPr>
      <w:spacing w:val="10"/>
      <w:szCs w:val="24"/>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font01"/>
    <w:basedOn w:val="21"/>
    <w:qFormat/>
    <w:uiPriority w:val="0"/>
    <w:rPr>
      <w:rFonts w:hint="default" w:ascii="Arial" w:hAnsi="Arial" w:cs="Arial"/>
      <w:color w:val="000000"/>
      <w:sz w:val="20"/>
      <w:szCs w:val="20"/>
      <w:u w:val="none"/>
    </w:rPr>
  </w:style>
  <w:style w:type="character" w:customStyle="1" w:styleId="41">
    <w:name w:val="font21"/>
    <w:basedOn w:val="21"/>
    <w:qFormat/>
    <w:uiPriority w:val="0"/>
    <w:rPr>
      <w:rFonts w:ascii="Calibri" w:hAnsi="Calibri" w:cs="Calibri"/>
      <w:color w:val="000000"/>
      <w:sz w:val="21"/>
      <w:szCs w:val="21"/>
      <w:u w:val="none"/>
    </w:rPr>
  </w:style>
  <w:style w:type="character" w:customStyle="1" w:styleId="42">
    <w:name w:val="font3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7F539-9FAF-42A7-BB69-3F8C801070E6}">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10</Pages>
  <Words>4670</Words>
  <Characters>5160</Characters>
  <Lines>439</Lines>
  <Paragraphs>432</Paragraphs>
  <TotalTime>1</TotalTime>
  <ScaleCrop>false</ScaleCrop>
  <LinksUpToDate>false</LinksUpToDate>
  <CharactersWithSpaces>5184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2022-08-30T08:09:00Z</dcterms:created>
  <dc:creator>翁诚 丘雍</dc:creator>
  <cp:lastModifiedBy>何超文</cp:lastModifiedBy>
  <cp:lastPrinted>2022-09-05T03:10:00Z</cp:lastPrinted>
  <dcterms:modified xsi:type="dcterms:W3CDTF">2024-12-30T05:49:05Z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D7A66193E5124EDFB7E264BD35626B00_13</vt:lpwstr>
  </property>
  <property fmtid="{D5CDD505-2E9C-101B-9397-08002B2CF9AE}" pid="4" name="GSEDS_TWMT">
    <vt:lpwstr>d46a6755_b77b54e0_78c901088382cc3e1e6c05f559b147d72117e95f61ade2486aa5fa4184dbb435</vt:lpwstr>
  </property>
  <property fmtid="{D5CDD505-2E9C-101B-9397-08002B2CF9AE}" pid="5" name="GSEDS_HWMT_d46a6755">
    <vt:lpwstr>f245f3f7_mFV3wD84Kyk2NspOkXv8q4e0BrA=_8QYrr0ZNXF8pbYQi+iyuw8Fh+oRtC/Qry25sLscjMdTE62gepjdwHE4ISkri3Vwdu6hRvOwL54eTxQ==_20eb66d2</vt:lpwstr>
  </property>
</Properties>
</file>