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D5539">
      <w:pPr>
        <w:widowControl/>
        <w:autoSpaceDE/>
        <w:autoSpaceDN/>
        <w:adjustRightInd/>
        <w:jc w:val="both"/>
        <w:rPr>
          <w:rStyle w:val="25"/>
          <w:rFonts w:ascii="宋体" w:hAnsi="宋体" w:cs="宋体"/>
          <w:sz w:val="40"/>
          <w:szCs w:val="40"/>
        </w:rPr>
      </w:pPr>
      <w:bookmarkStart w:id="0" w:name="_Toc6231"/>
      <w:bookmarkStart w:id="1" w:name="_Toc92364451"/>
      <w:bookmarkStart w:id="2" w:name="_Toc25960"/>
      <w:bookmarkStart w:id="3" w:name="_Toc30765"/>
      <w:bookmarkStart w:id="4" w:name="_Toc2483"/>
      <w:bookmarkStart w:id="5" w:name="_Toc19"/>
      <w:bookmarkStart w:id="6" w:name="_Toc4215"/>
    </w:p>
    <w:p w14:paraId="7B884DC6">
      <w:pPr>
        <w:widowControl/>
        <w:autoSpaceDE/>
        <w:autoSpaceDN/>
        <w:adjustRightInd/>
        <w:jc w:val="center"/>
        <w:rPr>
          <w:rStyle w:val="25"/>
          <w:rFonts w:ascii="宋体" w:hAnsi="宋体" w:cs="宋体"/>
          <w:sz w:val="44"/>
          <w:szCs w:val="44"/>
        </w:rPr>
      </w:pPr>
      <w:r>
        <w:rPr>
          <w:rStyle w:val="25"/>
          <w:rFonts w:hint="eastAsia" w:ascii="宋体" w:hAnsi="宋体" w:cs="宋体"/>
          <w:sz w:val="44"/>
          <w:szCs w:val="44"/>
          <w:lang w:val="en-US" w:eastAsia="zh-CN"/>
        </w:rPr>
        <w:t>广州医科大学附属第三医院黄埔院区-人行及车行道闸改造项目</w:t>
      </w:r>
      <w:r>
        <w:rPr>
          <w:rStyle w:val="25"/>
          <w:rFonts w:hint="eastAsia" w:ascii="宋体" w:hAnsi="宋体" w:cs="宋体"/>
          <w:sz w:val="44"/>
          <w:szCs w:val="44"/>
        </w:rPr>
        <w:t>需求书</w:t>
      </w:r>
      <w:bookmarkEnd w:id="0"/>
      <w:bookmarkEnd w:id="1"/>
      <w:bookmarkEnd w:id="2"/>
      <w:bookmarkEnd w:id="3"/>
      <w:bookmarkEnd w:id="4"/>
      <w:bookmarkEnd w:id="5"/>
      <w:bookmarkEnd w:id="6"/>
    </w:p>
    <w:p w14:paraId="585C20AA">
      <w:pPr>
        <w:pStyle w:val="2"/>
        <w:spacing w:line="360" w:lineRule="auto"/>
        <w:ind w:left="425" w:hanging="425"/>
        <w:rPr>
          <w:rFonts w:ascii="宋体" w:hAnsi="宋体" w:cs="宋体"/>
          <w:sz w:val="44"/>
          <w:szCs w:val="44"/>
        </w:rPr>
      </w:pPr>
      <w:r>
        <w:rPr>
          <w:rFonts w:hint="eastAsia" w:ascii="宋体" w:hAnsi="宋体" w:cs="宋体"/>
          <w:sz w:val="44"/>
          <w:szCs w:val="44"/>
        </w:rPr>
        <w:t>相关说明</w:t>
      </w:r>
    </w:p>
    <w:p w14:paraId="48C38CED">
      <w:pPr>
        <w:numPr>
          <w:ilvl w:val="0"/>
          <w:numId w:val="2"/>
        </w:numPr>
        <w:tabs>
          <w:tab w:val="left" w:pos="0"/>
          <w:tab w:val="clear" w:pos="420"/>
        </w:tabs>
        <w:autoSpaceDE/>
        <w:autoSpaceDN/>
        <w:snapToGrid w:val="0"/>
        <w:ind w:left="562" w:hanging="561" w:hangingChars="234"/>
        <w:jc w:val="both"/>
        <w:textAlignment w:val="baseline"/>
        <w:rPr>
          <w:rFonts w:ascii="宋体" w:hAnsi="宋体" w:cs="宋体"/>
        </w:rPr>
      </w:pPr>
      <w:r>
        <w:rPr>
          <w:rFonts w:hint="eastAsia" w:ascii="宋体" w:hAnsi="宋体" w:cs="宋体"/>
          <w:bCs/>
          <w:szCs w:val="24"/>
        </w:rPr>
        <w:t>投标人须对本项目的采购标的进行整体投标，任何只对本项目采购标的其中一部分内容、数量进行的投标都应予否决投标。</w:t>
      </w:r>
    </w:p>
    <w:p w14:paraId="69267511">
      <w:pPr>
        <w:numPr>
          <w:ilvl w:val="0"/>
          <w:numId w:val="2"/>
        </w:numPr>
        <w:tabs>
          <w:tab w:val="left" w:pos="0"/>
          <w:tab w:val="clear" w:pos="420"/>
        </w:tabs>
        <w:autoSpaceDE/>
        <w:autoSpaceDN/>
        <w:snapToGrid w:val="0"/>
        <w:ind w:left="562" w:hanging="561" w:hangingChars="234"/>
        <w:jc w:val="both"/>
        <w:textAlignment w:val="baseline"/>
        <w:rPr>
          <w:rFonts w:ascii="宋体" w:hAnsi="宋体" w:cs="宋体"/>
        </w:rPr>
      </w:pPr>
      <w:r>
        <w:rPr>
          <w:rFonts w:hint="eastAsia" w:ascii="宋体" w:hAnsi="宋体" w:cs="宋体"/>
          <w:bCs/>
          <w:szCs w:val="24"/>
        </w:rPr>
        <w:t>采购需求中标注“★”号条款为实质性条款，必须逐条进行响应，有任何一条负偏离的，应予否决投标。</w:t>
      </w:r>
    </w:p>
    <w:p w14:paraId="360919B2">
      <w:pPr>
        <w:numPr>
          <w:ilvl w:val="0"/>
          <w:numId w:val="2"/>
        </w:numPr>
        <w:tabs>
          <w:tab w:val="left" w:pos="0"/>
          <w:tab w:val="clear" w:pos="420"/>
        </w:tabs>
        <w:autoSpaceDE/>
        <w:autoSpaceDN/>
        <w:snapToGrid w:val="0"/>
        <w:ind w:left="562" w:hanging="561" w:hangingChars="234"/>
        <w:jc w:val="both"/>
        <w:textAlignment w:val="baseline"/>
        <w:rPr>
          <w:rFonts w:ascii="宋体" w:hAnsi="宋体" w:cs="宋体"/>
        </w:rPr>
      </w:pPr>
      <w:r>
        <w:rPr>
          <w:rFonts w:hint="eastAsia" w:ascii="宋体" w:hAnsi="宋体" w:cs="宋体"/>
          <w:bCs/>
          <w:szCs w:val="24"/>
        </w:rPr>
        <w:t>采购需求中标注“▲”号条款为重要技术参数，但不作为否决投标条款。</w:t>
      </w:r>
    </w:p>
    <w:p w14:paraId="5A3A8864">
      <w:pPr>
        <w:pStyle w:val="2"/>
        <w:spacing w:line="360" w:lineRule="auto"/>
        <w:rPr>
          <w:rFonts w:ascii="宋体" w:hAnsi="宋体" w:cs="宋体"/>
        </w:rPr>
      </w:pPr>
      <w:r>
        <w:rPr>
          <w:rFonts w:hint="eastAsia" w:ascii="宋体" w:hAnsi="宋体" w:cs="宋体"/>
        </w:rPr>
        <w:t>项目预算</w:t>
      </w:r>
    </w:p>
    <w:tbl>
      <w:tblPr>
        <w:tblStyle w:val="19"/>
        <w:tblW w:w="98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2"/>
        <w:gridCol w:w="1815"/>
        <w:gridCol w:w="2145"/>
        <w:gridCol w:w="2153"/>
      </w:tblGrid>
      <w:tr w14:paraId="40E82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712" w:type="dxa"/>
            <w:shd w:val="clear" w:color="auto" w:fill="EEECE1"/>
            <w:vAlign w:val="center"/>
          </w:tcPr>
          <w:p w14:paraId="24E8814B">
            <w:pPr>
              <w:jc w:val="center"/>
              <w:rPr>
                <w:rFonts w:ascii="宋体" w:hAnsi="宋体" w:cs="宋体"/>
                <w:b/>
                <w:color w:val="auto"/>
                <w:szCs w:val="24"/>
              </w:rPr>
            </w:pPr>
            <w:r>
              <w:rPr>
                <w:rFonts w:hint="eastAsia" w:ascii="宋体" w:hAnsi="宋体" w:cs="宋体"/>
                <w:b/>
                <w:color w:val="auto"/>
                <w:szCs w:val="24"/>
              </w:rPr>
              <w:t>采购内容</w:t>
            </w:r>
          </w:p>
        </w:tc>
        <w:tc>
          <w:tcPr>
            <w:tcW w:w="1815" w:type="dxa"/>
            <w:shd w:val="clear" w:color="auto" w:fill="EEECE1"/>
            <w:vAlign w:val="center"/>
          </w:tcPr>
          <w:p w14:paraId="66266CD8">
            <w:pPr>
              <w:jc w:val="center"/>
              <w:rPr>
                <w:rFonts w:ascii="宋体" w:hAnsi="宋体" w:cs="宋体"/>
                <w:b/>
                <w:color w:val="auto"/>
                <w:szCs w:val="24"/>
              </w:rPr>
            </w:pPr>
            <w:r>
              <w:rPr>
                <w:rFonts w:hint="eastAsia" w:ascii="宋体" w:hAnsi="宋体" w:cs="宋体"/>
                <w:b/>
                <w:color w:val="auto"/>
                <w:szCs w:val="24"/>
              </w:rPr>
              <w:t>数量</w:t>
            </w:r>
          </w:p>
        </w:tc>
        <w:tc>
          <w:tcPr>
            <w:tcW w:w="2145" w:type="dxa"/>
            <w:shd w:val="clear" w:color="auto" w:fill="EEECE1"/>
            <w:vAlign w:val="center"/>
          </w:tcPr>
          <w:p w14:paraId="64681F13">
            <w:pPr>
              <w:jc w:val="center"/>
              <w:rPr>
                <w:rFonts w:ascii="宋体" w:hAnsi="宋体" w:cs="宋体"/>
                <w:b/>
                <w:color w:val="auto"/>
                <w:szCs w:val="24"/>
              </w:rPr>
            </w:pPr>
            <w:r>
              <w:rPr>
                <w:rFonts w:hint="eastAsia" w:ascii="宋体" w:hAnsi="宋体" w:cs="宋体"/>
                <w:b/>
                <w:color w:val="auto"/>
                <w:szCs w:val="24"/>
              </w:rPr>
              <w:t>交货期</w:t>
            </w:r>
          </w:p>
        </w:tc>
        <w:tc>
          <w:tcPr>
            <w:tcW w:w="2153" w:type="dxa"/>
            <w:shd w:val="clear" w:color="auto" w:fill="EEECE1"/>
            <w:vAlign w:val="center"/>
          </w:tcPr>
          <w:p w14:paraId="345C1FD5">
            <w:pPr>
              <w:jc w:val="center"/>
              <w:rPr>
                <w:rFonts w:ascii="宋体" w:hAnsi="宋体" w:cs="宋体"/>
                <w:b/>
                <w:color w:val="auto"/>
                <w:szCs w:val="24"/>
              </w:rPr>
            </w:pPr>
            <w:r>
              <w:rPr>
                <w:rFonts w:hint="eastAsia" w:ascii="宋体" w:hAnsi="宋体" w:cs="宋体"/>
                <w:b/>
                <w:color w:val="auto"/>
                <w:szCs w:val="24"/>
              </w:rPr>
              <w:t>最高限价</w:t>
            </w:r>
          </w:p>
          <w:p w14:paraId="05E74E24">
            <w:pPr>
              <w:jc w:val="center"/>
              <w:rPr>
                <w:rFonts w:ascii="宋体" w:hAnsi="宋体" w:cs="宋体"/>
                <w:b/>
                <w:color w:val="auto"/>
                <w:szCs w:val="24"/>
              </w:rPr>
            </w:pPr>
            <w:r>
              <w:rPr>
                <w:rFonts w:hint="eastAsia" w:ascii="宋体" w:hAnsi="宋体" w:cs="宋体"/>
                <w:b/>
                <w:color w:val="auto"/>
              </w:rPr>
              <w:t>（</w:t>
            </w:r>
            <w:r>
              <w:rPr>
                <w:rFonts w:hint="eastAsia" w:ascii="宋体" w:hAnsi="宋体" w:cs="宋体"/>
                <w:color w:val="auto"/>
              </w:rPr>
              <w:t>人民币</w:t>
            </w:r>
            <w:r>
              <w:rPr>
                <w:rFonts w:hint="eastAsia" w:ascii="宋体" w:hAnsi="宋体" w:cs="宋体"/>
                <w:color w:val="auto"/>
                <w:lang w:eastAsia="zh-CN"/>
              </w:rPr>
              <w:t>：</w:t>
            </w:r>
            <w:r>
              <w:rPr>
                <w:rFonts w:hint="eastAsia" w:ascii="宋体" w:hAnsi="宋体" w:cs="宋体"/>
                <w:color w:val="auto"/>
                <w:lang w:val="en-US" w:eastAsia="zh-CN"/>
              </w:rPr>
              <w:t>万</w:t>
            </w:r>
            <w:r>
              <w:rPr>
                <w:rFonts w:hint="eastAsia" w:ascii="宋体" w:hAnsi="宋体" w:cs="宋体"/>
                <w:color w:val="auto"/>
              </w:rPr>
              <w:t>元</w:t>
            </w:r>
            <w:r>
              <w:rPr>
                <w:rFonts w:hint="eastAsia" w:ascii="宋体" w:hAnsi="宋体" w:cs="宋体"/>
                <w:b/>
                <w:color w:val="auto"/>
              </w:rPr>
              <w:t>）</w:t>
            </w:r>
          </w:p>
        </w:tc>
      </w:tr>
      <w:tr w14:paraId="0612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14:paraId="5B63A56D">
            <w:pPr>
              <w:widowControl/>
              <w:jc w:val="center"/>
              <w:textAlignment w:val="center"/>
              <w:rPr>
                <w:rFonts w:ascii="宋体" w:hAnsi="宋体" w:cs="宋体"/>
                <w:color w:val="auto"/>
                <w:sz w:val="20"/>
              </w:rPr>
            </w:pPr>
            <w:r>
              <w:rPr>
                <w:rFonts w:hint="eastAsia" w:ascii="宋体" w:hAnsi="宋体" w:cs="宋体"/>
                <w:color w:val="auto"/>
                <w:sz w:val="24"/>
                <w:szCs w:val="24"/>
                <w:lang w:val="en-US" w:eastAsia="zh-CN"/>
              </w:rPr>
              <w:t>人行及车行道闸改造</w:t>
            </w:r>
            <w:r>
              <w:rPr>
                <w:rFonts w:hint="eastAsia" w:ascii="宋体" w:hAnsi="宋体" w:cs="宋体"/>
                <w:color w:val="auto"/>
                <w:sz w:val="24"/>
                <w:szCs w:val="24"/>
              </w:rPr>
              <w:t>项目</w:t>
            </w:r>
          </w:p>
        </w:tc>
        <w:tc>
          <w:tcPr>
            <w:tcW w:w="1815" w:type="dxa"/>
            <w:vAlign w:val="center"/>
          </w:tcPr>
          <w:p w14:paraId="199D1296">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1项</w:t>
            </w:r>
          </w:p>
        </w:tc>
        <w:tc>
          <w:tcPr>
            <w:tcW w:w="2145" w:type="dxa"/>
            <w:vAlign w:val="center"/>
          </w:tcPr>
          <w:p w14:paraId="67F26FC4">
            <w:pPr>
              <w:keepNext/>
              <w:autoSpaceDE/>
              <w:autoSpaceDN/>
              <w:spacing w:before="60" w:after="60"/>
              <w:ind w:right="-94" w:rightChars="-39" w:hanging="54"/>
              <w:jc w:val="center"/>
              <w:textAlignment w:val="center"/>
              <w:rPr>
                <w:rFonts w:ascii="宋体" w:hAnsi="宋体" w:cs="宋体"/>
                <w:color w:val="auto"/>
                <w:kern w:val="2"/>
                <w:szCs w:val="24"/>
              </w:rPr>
            </w:pPr>
            <w:r>
              <w:rPr>
                <w:rFonts w:hint="eastAsia" w:ascii="宋体" w:hAnsi="宋体" w:cs="宋体"/>
                <w:color w:val="auto"/>
                <w:kern w:val="2"/>
                <w:szCs w:val="24"/>
              </w:rPr>
              <w:t>自合同签订之日起</w:t>
            </w:r>
          </w:p>
          <w:p w14:paraId="26ACCA7E">
            <w:pPr>
              <w:keepNext/>
              <w:autoSpaceDE/>
              <w:autoSpaceDN/>
              <w:spacing w:before="60" w:after="60"/>
              <w:ind w:right="-94" w:rightChars="-39" w:hanging="54"/>
              <w:jc w:val="center"/>
              <w:textAlignment w:val="center"/>
              <w:rPr>
                <w:rFonts w:ascii="宋体" w:hAnsi="宋体" w:cs="宋体"/>
                <w:color w:val="auto"/>
                <w:kern w:val="2"/>
                <w:szCs w:val="24"/>
              </w:rPr>
            </w:pPr>
            <w:r>
              <w:rPr>
                <w:rFonts w:hint="eastAsia" w:ascii="宋体" w:hAnsi="宋体" w:cs="宋体"/>
                <w:color w:val="auto"/>
                <w:kern w:val="2"/>
                <w:szCs w:val="24"/>
              </w:rPr>
              <w:t>30日历天内</w:t>
            </w:r>
          </w:p>
        </w:tc>
        <w:tc>
          <w:tcPr>
            <w:tcW w:w="2153" w:type="dxa"/>
            <w:vAlign w:val="center"/>
          </w:tcPr>
          <w:p w14:paraId="0E90C165">
            <w:pPr>
              <w:jc w:val="center"/>
              <w:rPr>
                <w:rFonts w:hint="default" w:ascii="宋体" w:hAnsi="宋体" w:cs="宋体"/>
                <w:color w:val="auto"/>
                <w:szCs w:val="24"/>
                <w:lang w:val="en-US"/>
              </w:rPr>
            </w:pPr>
            <w:r>
              <w:rPr>
                <w:rFonts w:hint="eastAsia" w:ascii="宋体" w:hAnsi="宋体" w:cs="宋体"/>
                <w:color w:val="auto"/>
                <w:szCs w:val="24"/>
                <w:lang w:val="en-US" w:eastAsia="zh-CN"/>
              </w:rPr>
              <w:t>4.6487</w:t>
            </w:r>
          </w:p>
        </w:tc>
      </w:tr>
    </w:tbl>
    <w:p w14:paraId="77D92802">
      <w:pPr>
        <w:pStyle w:val="2"/>
        <w:spacing w:line="360" w:lineRule="auto"/>
        <w:rPr>
          <w:rFonts w:ascii="宋体" w:hAnsi="宋体" w:cs="宋体"/>
          <w:color w:val="auto"/>
        </w:rPr>
      </w:pPr>
      <w:r>
        <w:rPr>
          <w:rFonts w:hint="eastAsia" w:ascii="宋体" w:hAnsi="宋体" w:cs="宋体"/>
          <w:color w:val="auto"/>
        </w:rPr>
        <w:t>项目概况</w:t>
      </w:r>
    </w:p>
    <w:p w14:paraId="50BCAC74">
      <w:pPr>
        <w:pStyle w:val="3"/>
        <w:spacing w:line="360" w:lineRule="auto"/>
        <w:rPr>
          <w:rFonts w:ascii="宋体" w:hAnsi="宋体" w:eastAsia="宋体" w:cs="宋体"/>
          <w:color w:val="auto"/>
        </w:rPr>
      </w:pPr>
      <w:r>
        <w:rPr>
          <w:rFonts w:hint="eastAsia" w:ascii="宋体" w:hAnsi="宋体" w:eastAsia="宋体" w:cs="宋体"/>
          <w:color w:val="auto"/>
        </w:rPr>
        <w:t>项目背景</w:t>
      </w:r>
    </w:p>
    <w:p w14:paraId="58A61905">
      <w:pPr>
        <w:widowControl/>
        <w:ind w:firstLine="480" w:firstLineChars="200"/>
        <w:rPr>
          <w:rFonts w:hint="default" w:ascii="宋体" w:hAnsi="宋体" w:eastAsia="宋体" w:cs="宋体"/>
          <w:color w:val="auto"/>
          <w:lang w:val="en-US" w:eastAsia="zh-CN"/>
        </w:rPr>
      </w:pPr>
      <w:r>
        <w:rPr>
          <w:rFonts w:hint="eastAsia" w:ascii="宋体" w:hAnsi="宋体" w:cs="宋体"/>
          <w:color w:val="auto"/>
        </w:rPr>
        <w:t>为加强对</w:t>
      </w:r>
      <w:r>
        <w:rPr>
          <w:rFonts w:hint="eastAsia" w:ascii="宋体" w:hAnsi="宋体" w:cs="宋体"/>
          <w:color w:val="auto"/>
          <w:lang w:val="en-US" w:eastAsia="zh-CN"/>
        </w:rPr>
        <w:t>医院相关出入口的安全</w:t>
      </w:r>
      <w:r>
        <w:rPr>
          <w:rFonts w:hint="eastAsia" w:ascii="宋体" w:hAnsi="宋体" w:cs="宋体"/>
          <w:color w:val="auto"/>
        </w:rPr>
        <w:t>管理</w:t>
      </w:r>
      <w:r>
        <w:rPr>
          <w:rFonts w:hint="eastAsia" w:ascii="宋体" w:hAnsi="宋体" w:cs="宋体"/>
          <w:color w:val="auto"/>
          <w:lang w:eastAsia="zh-CN"/>
        </w:rPr>
        <w:t>，</w:t>
      </w:r>
      <w:r>
        <w:rPr>
          <w:rFonts w:hint="eastAsia" w:ascii="宋体" w:hAnsi="宋体" w:cs="宋体"/>
          <w:color w:val="auto"/>
          <w:lang w:val="en-US" w:eastAsia="zh-CN"/>
        </w:rPr>
        <w:t>落实相关部门对医院安全保障业务的要求</w:t>
      </w:r>
      <w:r>
        <w:rPr>
          <w:rFonts w:hint="eastAsia" w:ascii="宋体" w:hAnsi="宋体" w:cs="宋体"/>
          <w:color w:val="auto"/>
        </w:rPr>
        <w:t>。广州医科大学附属第三医院计划在黄埔院区</w:t>
      </w:r>
      <w:r>
        <w:rPr>
          <w:rFonts w:hint="eastAsia" w:ascii="宋体" w:hAnsi="宋体" w:cs="宋体"/>
          <w:color w:val="auto"/>
          <w:lang w:val="en-US" w:eastAsia="zh-CN"/>
        </w:rPr>
        <w:t>改造部分人行道闸及车行道闸。</w:t>
      </w:r>
    </w:p>
    <w:p w14:paraId="04A226B3">
      <w:pPr>
        <w:pStyle w:val="3"/>
        <w:spacing w:line="360" w:lineRule="auto"/>
        <w:rPr>
          <w:rFonts w:ascii="宋体" w:hAnsi="宋体" w:eastAsia="宋体" w:cs="宋体"/>
          <w:color w:val="auto"/>
        </w:rPr>
      </w:pPr>
      <w:r>
        <w:rPr>
          <w:rFonts w:hint="eastAsia" w:ascii="宋体" w:hAnsi="宋体" w:eastAsia="宋体" w:cs="宋体"/>
          <w:color w:val="auto"/>
        </w:rPr>
        <w:t>建设原则</w:t>
      </w:r>
    </w:p>
    <w:p w14:paraId="15BEFAD0">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实用原则</w:t>
      </w:r>
    </w:p>
    <w:p w14:paraId="6E0DF659">
      <w:pPr>
        <w:ind w:firstLine="480"/>
        <w:rPr>
          <w:rFonts w:ascii="宋体" w:hAnsi="宋体" w:cs="宋体"/>
          <w:color w:val="auto"/>
          <w:szCs w:val="24"/>
        </w:rPr>
      </w:pPr>
      <w:r>
        <w:rPr>
          <w:rFonts w:hint="eastAsia" w:ascii="宋体" w:hAnsi="宋体" w:cs="宋体"/>
          <w:color w:val="auto"/>
          <w:kern w:val="2"/>
          <w:szCs w:val="24"/>
        </w:rPr>
        <w:t>以满足实际应用需求为原则，坚持先进，兼容传统，实现系统集成、系统互联、资源整合与信息共享。把实用性放在第一位，边建设边应用，把系统建设成“实用工程”。</w:t>
      </w:r>
    </w:p>
    <w:p w14:paraId="6B1F0BFF">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安全原则</w:t>
      </w:r>
    </w:p>
    <w:p w14:paraId="15B1A1FF">
      <w:pPr>
        <w:ind w:firstLine="480"/>
        <w:rPr>
          <w:rFonts w:ascii="宋体" w:hAnsi="宋体" w:cs="宋体"/>
          <w:color w:val="auto"/>
          <w:szCs w:val="24"/>
        </w:rPr>
      </w:pPr>
      <w:r>
        <w:rPr>
          <w:rFonts w:hint="eastAsia" w:ascii="宋体" w:hAnsi="宋体" w:cs="宋体"/>
          <w:color w:val="auto"/>
          <w:kern w:val="2"/>
          <w:szCs w:val="24"/>
        </w:rPr>
        <w:t>网络环境下信息传输和数据存储注重安全，保障系统网络的安全可靠性，避免遭到恶意攻击和数据被非法提取的现象出现。</w:t>
      </w:r>
    </w:p>
    <w:p w14:paraId="3C40DC81">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开放性原则</w:t>
      </w:r>
    </w:p>
    <w:p w14:paraId="7BA81973">
      <w:pPr>
        <w:ind w:firstLine="480"/>
        <w:rPr>
          <w:rFonts w:ascii="宋体" w:hAnsi="宋体" w:cs="宋体"/>
          <w:color w:val="auto"/>
          <w:szCs w:val="24"/>
        </w:rPr>
      </w:pPr>
      <w:r>
        <w:rPr>
          <w:rFonts w:hint="eastAsia" w:ascii="宋体" w:hAnsi="宋体" w:cs="宋体"/>
          <w:color w:val="auto"/>
          <w:kern w:val="2"/>
          <w:szCs w:val="24"/>
        </w:rPr>
        <w:t>系统建设必须按照开放性和标准性原则设计；提供全套的技术资料和全面的技术培训，以满足系统与其它系统协同运行以及系统功能扩展的需求。</w:t>
      </w:r>
    </w:p>
    <w:p w14:paraId="09B5D2E3">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扩展性原则</w:t>
      </w:r>
    </w:p>
    <w:p w14:paraId="0FB5FBFA">
      <w:pPr>
        <w:ind w:firstLine="480"/>
        <w:rPr>
          <w:rFonts w:ascii="宋体" w:hAnsi="宋体" w:cs="宋体"/>
          <w:color w:val="auto"/>
          <w:szCs w:val="24"/>
        </w:rPr>
      </w:pPr>
      <w:r>
        <w:rPr>
          <w:rFonts w:hint="eastAsia" w:ascii="宋体" w:hAnsi="宋体" w:cs="宋体"/>
          <w:color w:val="auto"/>
          <w:kern w:val="2"/>
          <w:szCs w:val="24"/>
        </w:rPr>
        <w:t>技术选型除了考虑先进、实用，还必须考虑系统的扩展性，系统容量应该有可持续发展的考虑。</w:t>
      </w:r>
    </w:p>
    <w:p w14:paraId="2E29DB14">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稳定性原则</w:t>
      </w:r>
    </w:p>
    <w:p w14:paraId="2E8E07F9">
      <w:pPr>
        <w:ind w:firstLine="480"/>
        <w:rPr>
          <w:rFonts w:ascii="宋体" w:hAnsi="宋体" w:cs="宋体"/>
          <w:color w:val="auto"/>
          <w:szCs w:val="24"/>
        </w:rPr>
      </w:pPr>
      <w:r>
        <w:rPr>
          <w:rFonts w:hint="eastAsia" w:ascii="宋体" w:hAnsi="宋体" w:cs="宋体"/>
          <w:color w:val="auto"/>
          <w:kern w:val="2"/>
          <w:szCs w:val="24"/>
        </w:rPr>
        <w:t>从系统结构、技术措施、设备性能、系统管理、厂商技术支持及维修能力等方面保障系统的可靠性和稳定性。</w:t>
      </w:r>
    </w:p>
    <w:p w14:paraId="48518A92">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易操作原则</w:t>
      </w:r>
    </w:p>
    <w:p w14:paraId="5E11AFAF">
      <w:pPr>
        <w:pStyle w:val="17"/>
        <w:spacing w:before="0" w:beforeAutospacing="0" w:after="0" w:afterAutospacing="0"/>
        <w:ind w:firstLine="480" w:firstLineChars="200"/>
        <w:rPr>
          <w:rFonts w:hAnsi="宋体" w:cs="宋体"/>
          <w:color w:val="auto"/>
          <w:szCs w:val="24"/>
        </w:rPr>
      </w:pPr>
      <w:r>
        <w:rPr>
          <w:rFonts w:hint="eastAsia" w:hAnsi="宋体" w:cs="宋体"/>
          <w:color w:val="auto"/>
          <w:szCs w:val="24"/>
        </w:rPr>
        <w:t>强调以人为本的设计思想，适应多功能、外向型的需求，对于来自内外的各种信息进行收集、处理、存储、传输、检索、查询，为实际使用者和管理者提供有效的信息服务和充分的决策依据，为用户和管理人员提供安全、舒适、方便、快捷、高效、节约的工作和办公环境。</w:t>
      </w:r>
    </w:p>
    <w:p w14:paraId="75C370E8">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可维护性原则</w:t>
      </w:r>
    </w:p>
    <w:p w14:paraId="341A5F48">
      <w:pPr>
        <w:pStyle w:val="17"/>
        <w:spacing w:before="0" w:beforeAutospacing="0" w:after="0" w:afterAutospacing="0"/>
        <w:ind w:firstLine="480" w:firstLineChars="200"/>
        <w:rPr>
          <w:rFonts w:hAnsi="宋体" w:cs="宋体"/>
          <w:color w:val="auto"/>
          <w:szCs w:val="24"/>
        </w:rPr>
      </w:pPr>
      <w:r>
        <w:rPr>
          <w:rFonts w:hint="eastAsia" w:hAnsi="宋体" w:cs="宋体"/>
          <w:color w:val="auto"/>
          <w:szCs w:val="24"/>
        </w:rPr>
        <w:t>系统应具备自检、故障诊断及故障弱化功能，在出现故障时，应能得到及时、快速的修复。</w:t>
      </w:r>
    </w:p>
    <w:p w14:paraId="60376639">
      <w:pPr>
        <w:numPr>
          <w:ilvl w:val="0"/>
          <w:numId w:val="3"/>
        </w:numPr>
        <w:ind w:left="0" w:firstLine="482" w:firstLineChars="200"/>
        <w:jc w:val="both"/>
        <w:rPr>
          <w:rFonts w:ascii="宋体" w:hAnsi="宋体" w:cs="宋体"/>
          <w:b/>
          <w:color w:val="auto"/>
          <w:szCs w:val="24"/>
        </w:rPr>
      </w:pPr>
      <w:bookmarkStart w:id="7" w:name="_Toc480982528"/>
      <w:bookmarkStart w:id="8" w:name="_Toc476309370"/>
      <w:r>
        <w:rPr>
          <w:rFonts w:hint="eastAsia" w:ascii="宋体" w:hAnsi="宋体" w:cs="宋体"/>
          <w:b/>
          <w:color w:val="auto"/>
          <w:kern w:val="2"/>
          <w:szCs w:val="24"/>
        </w:rPr>
        <w:t>经济</w:t>
      </w:r>
      <w:bookmarkEnd w:id="7"/>
      <w:bookmarkEnd w:id="8"/>
      <w:r>
        <w:rPr>
          <w:rFonts w:hint="eastAsia" w:ascii="宋体" w:hAnsi="宋体" w:cs="宋体"/>
          <w:b/>
          <w:color w:val="auto"/>
          <w:kern w:val="2"/>
          <w:szCs w:val="24"/>
        </w:rPr>
        <w:t>原则</w:t>
      </w:r>
    </w:p>
    <w:p w14:paraId="161E1ABE">
      <w:pPr>
        <w:pStyle w:val="17"/>
        <w:spacing w:before="0" w:beforeAutospacing="0" w:after="0" w:afterAutospacing="0"/>
        <w:ind w:firstLine="480" w:firstLineChars="200"/>
        <w:rPr>
          <w:rFonts w:hAnsi="宋体" w:cs="宋体"/>
          <w:color w:val="auto"/>
          <w:szCs w:val="24"/>
        </w:rPr>
      </w:pPr>
      <w:r>
        <w:rPr>
          <w:rFonts w:hint="eastAsia" w:hAnsi="宋体" w:cs="宋体"/>
          <w:color w:val="auto"/>
          <w:szCs w:val="24"/>
        </w:rPr>
        <w:t>在实现先进性和可靠性的前提下，以经济优化的设计达到较高的性价比。在确保用户需求、系统集成要求的前提下充分考虑现有设备的利旧使用。</w:t>
      </w:r>
    </w:p>
    <w:p w14:paraId="405DC89F">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先进性</w:t>
      </w:r>
    </w:p>
    <w:p w14:paraId="4E39ACF7">
      <w:pPr>
        <w:ind w:firstLine="480"/>
        <w:rPr>
          <w:rFonts w:ascii="宋体" w:hAnsi="宋体" w:cs="宋体"/>
          <w:color w:val="auto"/>
          <w:szCs w:val="24"/>
        </w:rPr>
      </w:pPr>
      <w:r>
        <w:rPr>
          <w:rFonts w:hint="eastAsia" w:ascii="宋体" w:hAnsi="宋体" w:cs="宋体"/>
          <w:color w:val="auto"/>
          <w:kern w:val="2"/>
          <w:szCs w:val="24"/>
        </w:rPr>
        <w:t>系统的架构和技术均符合高新技术的发展趋势，在满足功能的前提下，能够在今后一定时间内保持系统的先进性。</w:t>
      </w:r>
    </w:p>
    <w:p w14:paraId="5C651CBE">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标准性</w:t>
      </w:r>
    </w:p>
    <w:p w14:paraId="76680E3D">
      <w:pPr>
        <w:ind w:firstLine="480"/>
        <w:rPr>
          <w:rFonts w:ascii="宋体" w:hAnsi="宋体" w:cs="宋体"/>
          <w:color w:val="FF0000"/>
          <w:szCs w:val="24"/>
        </w:rPr>
      </w:pPr>
      <w:r>
        <w:rPr>
          <w:rFonts w:hint="eastAsia" w:ascii="宋体" w:hAnsi="宋体" w:cs="宋体"/>
          <w:color w:val="auto"/>
          <w:kern w:val="2"/>
          <w:szCs w:val="24"/>
        </w:rPr>
        <w:t>系统的标准化程度越高、开放性越好，则系统的生命周期越长。控制协议、传输协议、接口协议、视音频编解码、视音频文件格式等需要符合相关国家标准或行业标准的规定。</w:t>
      </w:r>
    </w:p>
    <w:p w14:paraId="3560A464">
      <w:pPr>
        <w:pStyle w:val="3"/>
        <w:spacing w:line="360" w:lineRule="auto"/>
        <w:rPr>
          <w:rFonts w:ascii="宋体" w:hAnsi="宋体" w:eastAsia="宋体" w:cs="宋体"/>
          <w:color w:val="auto"/>
        </w:rPr>
      </w:pPr>
      <w:r>
        <w:rPr>
          <w:rFonts w:hint="eastAsia" w:ascii="宋体" w:hAnsi="宋体" w:eastAsia="宋体" w:cs="宋体"/>
          <w:color w:val="auto"/>
        </w:rPr>
        <w:t>建设周期</w:t>
      </w:r>
    </w:p>
    <w:p w14:paraId="1BFEE72C">
      <w:pPr>
        <w:ind w:firstLine="480" w:firstLineChars="200"/>
        <w:rPr>
          <w:rFonts w:ascii="宋体" w:hAnsi="宋体" w:cs="宋体"/>
          <w:color w:val="FF0000"/>
        </w:rPr>
      </w:pPr>
      <w:r>
        <w:rPr>
          <w:rFonts w:hint="eastAsia" w:ascii="宋体" w:hAnsi="宋体" w:cs="宋体"/>
          <w:kern w:val="2"/>
          <w:szCs w:val="24"/>
          <w:u w:val="single"/>
        </w:rPr>
        <w:t>自合同签订之日起30日历天内</w:t>
      </w:r>
      <w:r>
        <w:rPr>
          <w:rFonts w:hint="eastAsia" w:ascii="宋体" w:hAnsi="宋体" w:cs="宋体"/>
        </w:rPr>
        <w:t>。</w:t>
      </w:r>
    </w:p>
    <w:p w14:paraId="2C619554">
      <w:pPr>
        <w:pStyle w:val="2"/>
        <w:spacing w:line="360" w:lineRule="auto"/>
        <w:rPr>
          <w:rFonts w:ascii="宋体" w:hAnsi="宋体" w:cs="宋体"/>
          <w:color w:val="auto"/>
        </w:rPr>
      </w:pPr>
      <w:r>
        <w:rPr>
          <w:rFonts w:hint="eastAsia" w:ascii="宋体" w:hAnsi="宋体" w:cs="宋体"/>
          <w:color w:val="auto"/>
          <w:lang w:val="en-US" w:eastAsia="zh-CN"/>
        </w:rPr>
        <w:t>建设内容</w:t>
      </w:r>
    </w:p>
    <w:p w14:paraId="57369B44">
      <w:pPr>
        <w:pStyle w:val="3"/>
        <w:spacing w:line="360" w:lineRule="auto"/>
        <w:rPr>
          <w:rFonts w:ascii="宋体" w:hAnsi="宋体" w:eastAsia="宋体" w:cs="宋体"/>
          <w:color w:val="auto"/>
        </w:rPr>
      </w:pPr>
      <w:r>
        <w:rPr>
          <w:rFonts w:hint="eastAsia" w:ascii="宋体" w:hAnsi="宋体" w:eastAsia="宋体" w:cs="宋体"/>
          <w:color w:val="auto"/>
          <w:lang w:val="en-US" w:eastAsia="zh-CN"/>
        </w:rPr>
        <w:t>门诊广场人行出入口</w:t>
      </w:r>
    </w:p>
    <w:p w14:paraId="4CDAFF58">
      <w:pPr>
        <w:pStyle w:val="38"/>
        <w:numPr>
          <w:ilvl w:val="0"/>
          <w:numId w:val="4"/>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拆除门诊广场人行通道闸、玻璃围挡及相关线材；</w:t>
      </w:r>
    </w:p>
    <w:p w14:paraId="382FD051">
      <w:pPr>
        <w:pStyle w:val="3"/>
        <w:spacing w:line="360" w:lineRule="auto"/>
        <w:rPr>
          <w:rFonts w:ascii="宋体" w:hAnsi="宋体" w:eastAsia="宋体" w:cs="宋体"/>
          <w:color w:val="auto"/>
        </w:rPr>
      </w:pPr>
      <w:r>
        <w:rPr>
          <w:rFonts w:hint="eastAsia" w:ascii="宋体" w:hAnsi="宋体" w:eastAsia="宋体" w:cs="宋体"/>
          <w:color w:val="auto"/>
          <w:lang w:val="en-US" w:eastAsia="zh-CN"/>
        </w:rPr>
        <w:t>门诊大厅</w:t>
      </w:r>
    </w:p>
    <w:p w14:paraId="7580AD97">
      <w:pPr>
        <w:pStyle w:val="38"/>
        <w:numPr>
          <w:ilvl w:val="0"/>
          <w:numId w:val="5"/>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在门诊楼出入口内侧安装；</w:t>
      </w:r>
    </w:p>
    <w:p w14:paraId="1344814A">
      <w:pPr>
        <w:pStyle w:val="38"/>
        <w:numPr>
          <w:ilvl w:val="0"/>
          <w:numId w:val="5"/>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利旧已有通道闸设备，约1.2米宽通道；</w:t>
      </w:r>
    </w:p>
    <w:p w14:paraId="45BF6BD2">
      <w:pPr>
        <w:pStyle w:val="38"/>
        <w:numPr>
          <w:ilvl w:val="0"/>
          <w:numId w:val="5"/>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出方向自动开闸放行，入方向保留人脸识别（内部人员通行）；</w:t>
      </w:r>
    </w:p>
    <w:p w14:paraId="46E6B631">
      <w:pPr>
        <w:pStyle w:val="38"/>
        <w:numPr>
          <w:ilvl w:val="0"/>
          <w:numId w:val="5"/>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道闸线缆埋地安装，不锈钢槽覆盖。不突出地面同时便于维护；</w:t>
      </w:r>
    </w:p>
    <w:p w14:paraId="4ACC5586">
      <w:pPr>
        <w:pStyle w:val="38"/>
        <w:numPr>
          <w:ilvl w:val="0"/>
          <w:numId w:val="5"/>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地面粘贴通行方向指示标识。</w:t>
      </w:r>
    </w:p>
    <w:p w14:paraId="785853DB">
      <w:pPr>
        <w:pStyle w:val="3"/>
        <w:spacing w:line="360" w:lineRule="auto"/>
        <w:rPr>
          <w:rFonts w:ascii="宋体" w:hAnsi="宋体" w:eastAsia="宋体" w:cs="宋体"/>
          <w:color w:val="auto"/>
        </w:rPr>
      </w:pPr>
      <w:r>
        <w:rPr>
          <w:rFonts w:hint="eastAsia" w:ascii="宋体" w:hAnsi="宋体" w:eastAsia="宋体" w:cs="宋体"/>
          <w:color w:val="auto"/>
          <w:lang w:val="en-US" w:eastAsia="zh-CN"/>
        </w:rPr>
        <w:t>门诊负二楼出入口</w:t>
      </w:r>
    </w:p>
    <w:p w14:paraId="0770F68A">
      <w:pPr>
        <w:pStyle w:val="38"/>
        <w:numPr>
          <w:ilvl w:val="0"/>
          <w:numId w:val="6"/>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通道闸已有；</w:t>
      </w:r>
    </w:p>
    <w:p w14:paraId="33E9AEB5">
      <w:pPr>
        <w:pStyle w:val="38"/>
        <w:numPr>
          <w:ilvl w:val="0"/>
          <w:numId w:val="6"/>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出方向自动开闸放行，入方向保留人脸识别（内部人员通行）；</w:t>
      </w:r>
    </w:p>
    <w:p w14:paraId="7BB54275">
      <w:pPr>
        <w:pStyle w:val="38"/>
        <w:numPr>
          <w:ilvl w:val="0"/>
          <w:numId w:val="6"/>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道闸线缆埋地安装，不锈钢槽覆盖。不突出地面同时便于维护；</w:t>
      </w:r>
    </w:p>
    <w:p w14:paraId="6A60FEF5">
      <w:pPr>
        <w:pStyle w:val="38"/>
        <w:numPr>
          <w:ilvl w:val="0"/>
          <w:numId w:val="6"/>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地面粘贴通行方向指示标识。</w:t>
      </w:r>
    </w:p>
    <w:p w14:paraId="6E2DE01D">
      <w:pPr>
        <w:pStyle w:val="3"/>
        <w:spacing w:line="360" w:lineRule="auto"/>
        <w:rPr>
          <w:rFonts w:ascii="宋体" w:hAnsi="宋体" w:eastAsia="宋体" w:cs="宋体"/>
          <w:color w:val="auto"/>
        </w:rPr>
      </w:pPr>
      <w:r>
        <w:rPr>
          <w:rFonts w:hint="eastAsia" w:ascii="宋体" w:hAnsi="宋体" w:eastAsia="宋体" w:cs="宋体"/>
          <w:color w:val="auto"/>
          <w:lang w:val="en-US" w:eastAsia="zh-CN"/>
        </w:rPr>
        <w:t>急诊出入口</w:t>
      </w:r>
    </w:p>
    <w:p w14:paraId="14C43F63">
      <w:pPr>
        <w:pStyle w:val="38"/>
        <w:numPr>
          <w:ilvl w:val="0"/>
          <w:numId w:val="6"/>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在急诊出入口外侧安装；</w:t>
      </w:r>
    </w:p>
    <w:p w14:paraId="12BBFC7A">
      <w:pPr>
        <w:pStyle w:val="38"/>
        <w:numPr>
          <w:ilvl w:val="0"/>
          <w:numId w:val="6"/>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利旧已有通道闸设备，约1.2米宽通道；</w:t>
      </w:r>
    </w:p>
    <w:p w14:paraId="2A277D6C">
      <w:pPr>
        <w:pStyle w:val="38"/>
        <w:numPr>
          <w:ilvl w:val="0"/>
          <w:numId w:val="6"/>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出方向自动开闸放行，入方向保留人脸识别（内部人员通行）；</w:t>
      </w:r>
    </w:p>
    <w:p w14:paraId="6E0C826B">
      <w:pPr>
        <w:pStyle w:val="38"/>
        <w:numPr>
          <w:ilvl w:val="0"/>
          <w:numId w:val="6"/>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道闸线缆埋地安装，不锈钢槽覆盖。不突出地面同时便于维护；</w:t>
      </w:r>
    </w:p>
    <w:p w14:paraId="7B82370C">
      <w:pPr>
        <w:pStyle w:val="38"/>
        <w:numPr>
          <w:ilvl w:val="0"/>
          <w:numId w:val="6"/>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地面粘贴通行方向指示标识。</w:t>
      </w:r>
    </w:p>
    <w:p w14:paraId="637FF96B">
      <w:pPr>
        <w:pStyle w:val="3"/>
        <w:spacing w:line="360" w:lineRule="auto"/>
        <w:rPr>
          <w:rFonts w:ascii="宋体" w:hAnsi="宋体" w:eastAsia="宋体" w:cs="宋体"/>
          <w:color w:val="auto"/>
        </w:rPr>
      </w:pPr>
      <w:r>
        <w:rPr>
          <w:rFonts w:hint="eastAsia" w:ascii="宋体" w:hAnsi="宋体" w:eastAsia="宋体" w:cs="宋体"/>
          <w:color w:val="auto"/>
          <w:lang w:val="en-US" w:eastAsia="zh-CN"/>
        </w:rPr>
        <w:t>住院楼出入口</w:t>
      </w:r>
    </w:p>
    <w:p w14:paraId="10F1A9F3">
      <w:pPr>
        <w:pStyle w:val="38"/>
        <w:numPr>
          <w:ilvl w:val="0"/>
          <w:numId w:val="6"/>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通道闸已有；</w:t>
      </w:r>
    </w:p>
    <w:p w14:paraId="3E3873B0">
      <w:pPr>
        <w:pStyle w:val="38"/>
        <w:numPr>
          <w:ilvl w:val="0"/>
          <w:numId w:val="6"/>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出方向自动开闸放行，入方向保留人脸识别（内部人员通行）；</w:t>
      </w:r>
    </w:p>
    <w:p w14:paraId="1A4536D1">
      <w:pPr>
        <w:pStyle w:val="38"/>
        <w:numPr>
          <w:ilvl w:val="0"/>
          <w:numId w:val="6"/>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道闸线缆埋地安装，不锈钢槽覆盖。不突出地面同时便于维护；</w:t>
      </w:r>
    </w:p>
    <w:p w14:paraId="1160CA6C">
      <w:pPr>
        <w:pStyle w:val="38"/>
        <w:numPr>
          <w:ilvl w:val="0"/>
          <w:numId w:val="6"/>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地面粘贴通行方向指示标识。</w:t>
      </w:r>
    </w:p>
    <w:p w14:paraId="2BBF7234">
      <w:pPr>
        <w:pStyle w:val="3"/>
        <w:spacing w:line="360" w:lineRule="auto"/>
        <w:rPr>
          <w:rFonts w:ascii="宋体" w:hAnsi="宋体" w:eastAsia="宋体" w:cs="宋体"/>
          <w:color w:val="auto"/>
        </w:rPr>
      </w:pPr>
      <w:r>
        <w:rPr>
          <w:rFonts w:hint="eastAsia" w:ascii="宋体" w:hAnsi="宋体" w:eastAsia="宋体" w:cs="宋体"/>
          <w:color w:val="auto"/>
          <w:lang w:val="en-US" w:eastAsia="zh-CN"/>
        </w:rPr>
        <w:t>南门出入口改造</w:t>
      </w:r>
    </w:p>
    <w:p w14:paraId="1E9C5C1D">
      <w:pPr>
        <w:pStyle w:val="38"/>
        <w:numPr>
          <w:ilvl w:val="0"/>
          <w:numId w:val="6"/>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宋体" w:hAnsi="宋体" w:eastAsia="宋体" w:cs="宋体"/>
          <w:color w:val="auto"/>
          <w:lang w:val="en-US" w:eastAsia="zh-CN"/>
        </w:rPr>
        <w:t>南门</w:t>
      </w:r>
      <w:r>
        <w:rPr>
          <w:rFonts w:hint="eastAsia" w:ascii="宋体" w:hAnsi="宋体" w:cs="宋体"/>
          <w:color w:val="auto"/>
          <w:lang w:val="en-US" w:eastAsia="zh-CN"/>
        </w:rPr>
        <w:t>单向车辆</w:t>
      </w:r>
      <w:r>
        <w:rPr>
          <w:rFonts w:hint="eastAsia" w:ascii="宋体" w:hAnsi="宋体" w:eastAsia="宋体" w:cs="宋体"/>
          <w:color w:val="auto"/>
          <w:lang w:val="en-US" w:eastAsia="zh-CN"/>
        </w:rPr>
        <w:t>道闸更换为栅栏闸</w:t>
      </w:r>
      <w:r>
        <w:rPr>
          <w:rFonts w:hint="eastAsia" w:ascii="宋体" w:hAnsi="宋体" w:cs="宋体"/>
          <w:color w:val="auto"/>
          <w:lang w:val="en-US" w:eastAsia="zh-CN"/>
        </w:rPr>
        <w:t>（如落地款封闭栅栏）</w:t>
      </w:r>
      <w:r>
        <w:rPr>
          <w:rFonts w:hint="eastAsia" w:ascii="宋体" w:hAnsi="宋体" w:eastAsia="宋体" w:cs="宋体"/>
          <w:color w:val="auto"/>
          <w:lang w:val="en-US" w:eastAsia="zh-CN"/>
        </w:rPr>
        <w:t>。</w:t>
      </w:r>
    </w:p>
    <w:p w14:paraId="683325F0">
      <w:pPr>
        <w:pStyle w:val="3"/>
        <w:spacing w:line="360" w:lineRule="auto"/>
        <w:rPr>
          <w:rFonts w:ascii="宋体" w:hAnsi="宋体" w:eastAsia="宋体" w:cs="宋体"/>
          <w:color w:val="auto"/>
        </w:rPr>
      </w:pPr>
      <w:r>
        <w:rPr>
          <w:rFonts w:hint="eastAsia" w:ascii="宋体" w:hAnsi="宋体" w:eastAsia="宋体" w:cs="宋体"/>
          <w:color w:val="auto"/>
          <w:lang w:val="en-US" w:eastAsia="zh-CN"/>
        </w:rPr>
        <w:t>东1门出入口改造</w:t>
      </w:r>
    </w:p>
    <w:p w14:paraId="53D3123A">
      <w:pPr>
        <w:pStyle w:val="38"/>
        <w:numPr>
          <w:ilvl w:val="0"/>
          <w:numId w:val="6"/>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宋体" w:hAnsi="宋体" w:cs="宋体"/>
          <w:color w:val="auto"/>
          <w:lang w:val="en-US" w:eastAsia="zh-CN"/>
        </w:rPr>
        <w:t>东1门双向车辆</w:t>
      </w:r>
      <w:r>
        <w:rPr>
          <w:rFonts w:hint="eastAsia" w:ascii="宋体" w:hAnsi="宋体" w:eastAsia="宋体" w:cs="宋体"/>
          <w:color w:val="auto"/>
          <w:lang w:val="en-US" w:eastAsia="zh-CN"/>
        </w:rPr>
        <w:t>道闸更换为栅栏闸</w:t>
      </w:r>
      <w:r>
        <w:rPr>
          <w:rFonts w:hint="eastAsia" w:ascii="宋体" w:hAnsi="宋体" w:cs="宋体"/>
          <w:color w:val="auto"/>
          <w:lang w:val="en-US" w:eastAsia="zh-CN"/>
        </w:rPr>
        <w:t>（如落地款封闭栅栏）；</w:t>
      </w:r>
    </w:p>
    <w:p w14:paraId="31A0EC73">
      <w:pPr>
        <w:pStyle w:val="38"/>
        <w:numPr>
          <w:ilvl w:val="0"/>
          <w:numId w:val="6"/>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宋体" w:hAnsi="宋体" w:cs="宋体"/>
          <w:color w:val="auto"/>
          <w:lang w:val="en-US" w:eastAsia="zh-CN"/>
        </w:rPr>
        <w:t>闸机（含抓拍机）位置根据现场实际情况，结合车辆通行便利调整；</w:t>
      </w:r>
    </w:p>
    <w:p w14:paraId="4D6318E4">
      <w:pPr>
        <w:pStyle w:val="38"/>
        <w:numPr>
          <w:ilvl w:val="0"/>
          <w:numId w:val="6"/>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道闸改造后需配套少量必须得围栏（款式参考现场现有围栏</w:t>
      </w:r>
      <w:bookmarkStart w:id="9" w:name="_GoBack"/>
      <w:bookmarkEnd w:id="9"/>
      <w:r>
        <w:rPr>
          <w:rFonts w:hint="eastAsia" w:asciiTheme="minorEastAsia" w:hAnsiTheme="minorEastAsia"/>
          <w:color w:val="auto"/>
          <w:sz w:val="24"/>
          <w:szCs w:val="24"/>
          <w:lang w:val="en-US" w:eastAsia="zh-CN"/>
        </w:rPr>
        <w:t>），实现人不可通行。</w:t>
      </w:r>
    </w:p>
    <w:p w14:paraId="618C6D84">
      <w:pPr>
        <w:pStyle w:val="14"/>
        <w:jc w:val="center"/>
        <w:rPr>
          <w:rFonts w:ascii="宋体" w:hAnsi="宋体" w:cs="宋体"/>
          <w:color w:val="FF0000"/>
        </w:rPr>
      </w:pPr>
    </w:p>
    <w:p w14:paraId="299A11AF">
      <w:pPr>
        <w:pStyle w:val="14"/>
        <w:ind w:firstLine="480" w:firstLineChars="200"/>
        <w:rPr>
          <w:rFonts w:ascii="宋体" w:hAnsi="宋体" w:cs="宋体"/>
          <w:color w:val="FF0000"/>
          <w:kern w:val="2"/>
          <w:sz w:val="24"/>
          <w:szCs w:val="24"/>
        </w:rPr>
        <w:sectPr>
          <w:headerReference r:id="rId5" w:type="default"/>
          <w:footerReference r:id="rId6" w:type="default"/>
          <w:pgSz w:w="11906" w:h="16838"/>
          <w:pgMar w:top="1134" w:right="1134" w:bottom="1134" w:left="1134" w:header="851" w:footer="992" w:gutter="0"/>
          <w:cols w:space="425" w:num="1"/>
          <w:docGrid w:type="lines" w:linePitch="312" w:charSpace="0"/>
        </w:sectPr>
      </w:pPr>
    </w:p>
    <w:p w14:paraId="57DB1DDD">
      <w:pPr>
        <w:pStyle w:val="2"/>
        <w:spacing w:line="360" w:lineRule="auto"/>
        <w:rPr>
          <w:rFonts w:ascii="宋体" w:hAnsi="宋体" w:cs="宋体"/>
        </w:rPr>
      </w:pPr>
      <w:r>
        <w:rPr>
          <w:rFonts w:hint="eastAsia" w:ascii="宋体" w:hAnsi="宋体" w:cs="宋体"/>
        </w:rPr>
        <w:t>设备及材料</w:t>
      </w:r>
    </w:p>
    <w:p w14:paraId="1BB5C02B">
      <w:pPr>
        <w:pStyle w:val="3"/>
        <w:spacing w:line="360" w:lineRule="auto"/>
        <w:rPr>
          <w:rFonts w:ascii="宋体" w:hAnsi="宋体" w:eastAsia="宋体" w:cs="宋体"/>
        </w:rPr>
      </w:pPr>
      <w:r>
        <w:rPr>
          <w:rFonts w:hint="eastAsia" w:ascii="宋体" w:hAnsi="宋体" w:eastAsia="宋体" w:cs="宋体"/>
        </w:rPr>
        <w:t>★配置清单（以下项目需分项报价）</w:t>
      </w:r>
    </w:p>
    <w:tbl>
      <w:tblPr>
        <w:tblStyle w:val="19"/>
        <w:tblW w:w="506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9"/>
        <w:gridCol w:w="1436"/>
        <w:gridCol w:w="3587"/>
        <w:gridCol w:w="764"/>
        <w:gridCol w:w="840"/>
        <w:gridCol w:w="1218"/>
        <w:gridCol w:w="1186"/>
      </w:tblGrid>
      <w:tr w14:paraId="661D3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E730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3EF9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需求内容</w:t>
            </w:r>
          </w:p>
        </w:tc>
        <w:tc>
          <w:tcPr>
            <w:tcW w:w="1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918E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基本需求描述</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44C3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76E0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E99FF">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单价/万元</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5E944">
            <w:pPr>
              <w:keepNext w:val="0"/>
              <w:keepLines w:val="0"/>
              <w:widowControl/>
              <w:suppressLineNumbers w:val="0"/>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总价/万元</w:t>
            </w:r>
          </w:p>
        </w:tc>
      </w:tr>
      <w:tr w14:paraId="22FDE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EC5B5">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eastAsia" w:ascii="Calibri" w:hAnsi="Calibri" w:cs="Calibri"/>
                <w:i w:val="0"/>
                <w:iCs w:val="0"/>
                <w:color w:val="000000"/>
                <w:kern w:val="0"/>
                <w:sz w:val="21"/>
                <w:szCs w:val="21"/>
                <w:u w:val="none"/>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2EE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人行道闸</w:t>
            </w:r>
            <w:r>
              <w:rPr>
                <w:rFonts w:hint="eastAsia" w:ascii="宋体" w:hAnsi="宋体" w:cs="宋体"/>
                <w:i w:val="0"/>
                <w:iCs w:val="0"/>
                <w:color w:val="000000"/>
                <w:kern w:val="0"/>
                <w:sz w:val="21"/>
                <w:szCs w:val="21"/>
                <w:u w:val="none"/>
                <w:lang w:val="en-US" w:eastAsia="zh-CN" w:bidi="ar"/>
              </w:rPr>
              <w:t>改造</w:t>
            </w:r>
            <w:r>
              <w:rPr>
                <w:rFonts w:hint="eastAsia" w:ascii="宋体" w:hAnsi="宋体" w:eastAsia="宋体" w:cs="宋体"/>
                <w:i w:val="0"/>
                <w:iCs w:val="0"/>
                <w:color w:val="000000"/>
                <w:kern w:val="0"/>
                <w:sz w:val="21"/>
                <w:szCs w:val="21"/>
                <w:u w:val="none"/>
                <w:lang w:val="en-US" w:eastAsia="zh-CN" w:bidi="ar"/>
              </w:rPr>
              <w:t>（拆除、安装）</w:t>
            </w:r>
          </w:p>
        </w:tc>
        <w:tc>
          <w:tcPr>
            <w:tcW w:w="1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3923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现场原有</w:t>
            </w:r>
            <w:r>
              <w:rPr>
                <w:rFonts w:hint="eastAsia" w:ascii="宋体" w:hAnsi="宋体" w:eastAsia="宋体" w:cs="宋体"/>
                <w:i w:val="0"/>
                <w:iCs w:val="0"/>
                <w:color w:val="000000"/>
                <w:kern w:val="0"/>
                <w:sz w:val="21"/>
                <w:szCs w:val="21"/>
                <w:u w:val="none"/>
                <w:lang w:val="en-US" w:eastAsia="zh-CN" w:bidi="ar"/>
              </w:rPr>
              <w:t>道闸</w:t>
            </w:r>
          </w:p>
          <w:p w14:paraId="39CF7A3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2.现需拆除、调整位置重新安装。</w:t>
            </w:r>
          </w:p>
          <w:p w14:paraId="46A783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3.涉及位置：门诊大堂、急诊门口、</w:t>
            </w:r>
            <w:r>
              <w:rPr>
                <w:rFonts w:hint="eastAsia" w:ascii="宋体" w:hAnsi="宋体" w:cs="宋体"/>
                <w:i w:val="0"/>
                <w:iCs w:val="0"/>
                <w:color w:val="000000"/>
                <w:kern w:val="0"/>
                <w:sz w:val="21"/>
                <w:szCs w:val="21"/>
                <w:u w:val="none"/>
                <w:lang w:val="en-US" w:eastAsia="zh-CN" w:bidi="ar"/>
              </w:rPr>
              <w:t>住院楼1楼、</w:t>
            </w:r>
            <w:r>
              <w:rPr>
                <w:rFonts w:hint="eastAsia" w:ascii="宋体" w:hAnsi="宋体" w:eastAsia="宋体" w:cs="宋体"/>
                <w:i w:val="0"/>
                <w:iCs w:val="0"/>
                <w:color w:val="000000"/>
                <w:kern w:val="0"/>
                <w:sz w:val="21"/>
                <w:szCs w:val="21"/>
                <w:u w:val="none"/>
                <w:lang w:val="en-US" w:eastAsia="zh-CN" w:bidi="ar"/>
              </w:rPr>
              <w:t>住院楼负一层、住院楼负二层。</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DBB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3A6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项</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0ECE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CF91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20B8A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01630">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eastAsia" w:ascii="Calibri" w:hAnsi="Calibri" w:cs="Calibri"/>
                <w:i w:val="0"/>
                <w:iCs w:val="0"/>
                <w:color w:val="000000"/>
                <w:kern w:val="0"/>
                <w:sz w:val="21"/>
                <w:szCs w:val="21"/>
                <w:u w:val="none"/>
                <w:lang w:val="en-US" w:eastAsia="zh-CN" w:bidi="ar"/>
              </w:rPr>
              <w:t>2</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14D0E">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车行道闸</w:t>
            </w:r>
            <w:r>
              <w:rPr>
                <w:rFonts w:hint="eastAsia" w:ascii="宋体" w:hAnsi="宋体" w:cs="宋体"/>
                <w:i w:val="0"/>
                <w:iCs w:val="0"/>
                <w:color w:val="000000"/>
                <w:kern w:val="0"/>
                <w:sz w:val="21"/>
                <w:szCs w:val="21"/>
                <w:u w:val="none"/>
                <w:lang w:val="en-US" w:eastAsia="zh-CN" w:bidi="ar"/>
              </w:rPr>
              <w:t>改造</w:t>
            </w:r>
          </w:p>
        </w:tc>
        <w:tc>
          <w:tcPr>
            <w:tcW w:w="1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F822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1.调整为下方有围栏，人不可通过的形式。</w:t>
            </w:r>
          </w:p>
          <w:p w14:paraId="5F65EF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位置：南门</w:t>
            </w:r>
            <w:r>
              <w:rPr>
                <w:rFonts w:hint="eastAsia" w:ascii="宋体" w:hAnsi="宋体" w:cs="宋体"/>
                <w:i w:val="0"/>
                <w:iCs w:val="0"/>
                <w:color w:val="000000"/>
                <w:kern w:val="0"/>
                <w:sz w:val="21"/>
                <w:szCs w:val="21"/>
                <w:u w:val="none"/>
                <w:lang w:val="en-US" w:eastAsia="zh-CN" w:bidi="ar"/>
              </w:rPr>
              <w:t>、东1门</w:t>
            </w:r>
            <w:r>
              <w:rPr>
                <w:rFonts w:hint="eastAsia" w:ascii="宋体" w:hAnsi="宋体" w:eastAsia="宋体" w:cs="宋体"/>
                <w:i w:val="0"/>
                <w:iCs w:val="0"/>
                <w:color w:val="000000"/>
                <w:kern w:val="0"/>
                <w:sz w:val="21"/>
                <w:szCs w:val="21"/>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7BD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37F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项</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75C0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9137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14:paraId="415B2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2E6A2">
            <w:pPr>
              <w:keepNext w:val="0"/>
              <w:keepLines w:val="0"/>
              <w:widowControl/>
              <w:suppressLineNumbers w:val="0"/>
              <w:jc w:val="center"/>
              <w:textAlignment w:val="center"/>
              <w:rPr>
                <w:rFonts w:hint="eastAsia" w:ascii="Calibri" w:hAnsi="Calibri" w:cs="Calibri"/>
                <w:i w:val="0"/>
                <w:iCs w:val="0"/>
                <w:color w:val="000000"/>
                <w:kern w:val="0"/>
                <w:sz w:val="21"/>
                <w:szCs w:val="21"/>
                <w:u w:val="none"/>
                <w:lang w:val="en-US" w:eastAsia="zh-CN" w:bidi="ar"/>
              </w:rPr>
            </w:pP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F9DF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总价</w:t>
            </w:r>
          </w:p>
        </w:tc>
        <w:tc>
          <w:tcPr>
            <w:tcW w:w="1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1E713">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0D8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94A6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AAB4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9E73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bl>
    <w:p w14:paraId="6A6779BF">
      <w:pPr>
        <w:tabs>
          <w:tab w:val="left" w:pos="540"/>
        </w:tabs>
        <w:autoSpaceDE/>
        <w:autoSpaceDN/>
        <w:snapToGrid w:val="0"/>
        <w:jc w:val="both"/>
        <w:rPr>
          <w:rFonts w:ascii="宋体" w:hAnsi="宋体" w:cs="宋体"/>
          <w:b/>
          <w:color w:val="000000"/>
          <w:szCs w:val="24"/>
        </w:rPr>
      </w:pPr>
    </w:p>
    <w:p w14:paraId="7BCBF568">
      <w:pPr>
        <w:pStyle w:val="2"/>
        <w:spacing w:line="360" w:lineRule="auto"/>
        <w:rPr>
          <w:rFonts w:ascii="宋体" w:hAnsi="宋体" w:cs="宋体"/>
        </w:rPr>
      </w:pPr>
      <w:r>
        <w:rPr>
          <w:rFonts w:hint="eastAsia" w:ascii="宋体" w:hAnsi="宋体" w:cs="宋体"/>
        </w:rPr>
        <w:t>技术参数要求</w:t>
      </w:r>
    </w:p>
    <w:p w14:paraId="60FDA05F">
      <w:pPr>
        <w:pStyle w:val="3"/>
        <w:rPr>
          <w:rFonts w:ascii="宋体" w:hAnsi="宋体" w:eastAsia="宋体" w:cs="宋体"/>
          <w:color w:val="auto"/>
        </w:rPr>
      </w:pPr>
      <w:r>
        <w:rPr>
          <w:rFonts w:hint="eastAsia" w:ascii="宋体" w:hAnsi="宋体" w:eastAsia="宋体" w:cs="宋体"/>
          <w:color w:val="auto"/>
        </w:rPr>
        <w:t>人行道闸调整（拆除、安装）</w:t>
      </w:r>
    </w:p>
    <w:p w14:paraId="00240683">
      <w:pPr>
        <w:numPr>
          <w:ilvl w:val="0"/>
          <w:numId w:val="7"/>
        </w:numPr>
        <w:ind w:firstLine="480" w:firstLineChars="200"/>
        <w:rPr>
          <w:rFonts w:hint="eastAsia" w:ascii="宋体" w:hAnsi="宋体" w:cs="宋体"/>
          <w:color w:val="auto"/>
        </w:rPr>
      </w:pPr>
      <w:r>
        <w:rPr>
          <w:rFonts w:hint="eastAsia" w:ascii="宋体" w:hAnsi="宋体" w:cs="宋体"/>
          <w:color w:val="auto"/>
          <w:lang w:val="en-US" w:eastAsia="zh-CN"/>
        </w:rPr>
        <w:t>道闸拆除后，原位置地面需修复还原。</w:t>
      </w:r>
    </w:p>
    <w:p w14:paraId="1E26BFDC">
      <w:pPr>
        <w:numPr>
          <w:ilvl w:val="0"/>
          <w:numId w:val="7"/>
        </w:numPr>
        <w:ind w:firstLine="480" w:firstLineChars="200"/>
        <w:rPr>
          <w:rFonts w:hint="eastAsia" w:ascii="宋体" w:hAnsi="宋体" w:cs="宋体"/>
          <w:color w:val="auto"/>
        </w:rPr>
      </w:pPr>
      <w:r>
        <w:rPr>
          <w:rFonts w:hint="eastAsia" w:ascii="宋体" w:hAnsi="宋体" w:cs="宋体"/>
          <w:color w:val="auto"/>
          <w:lang w:val="en-US" w:eastAsia="zh-CN"/>
        </w:rPr>
        <w:t>原人行道闸为明线安装，本次需</w:t>
      </w:r>
      <w:r>
        <w:rPr>
          <w:rFonts w:hint="eastAsia" w:asciiTheme="minorEastAsia" w:hAnsiTheme="minorEastAsia"/>
          <w:color w:val="auto"/>
          <w:sz w:val="24"/>
          <w:szCs w:val="24"/>
          <w:lang w:val="en-US" w:eastAsia="zh-CN"/>
        </w:rPr>
        <w:t>线缆埋地安装，不锈钢槽覆盖。不突出地面同时便于维护。</w:t>
      </w:r>
    </w:p>
    <w:p w14:paraId="33ABE6CF">
      <w:pPr>
        <w:numPr>
          <w:ilvl w:val="0"/>
          <w:numId w:val="7"/>
        </w:numPr>
        <w:ind w:firstLine="480" w:firstLineChars="200"/>
        <w:rPr>
          <w:rFonts w:hint="eastAsia" w:ascii="宋体" w:hAnsi="宋体" w:cs="宋体"/>
          <w:color w:val="auto"/>
        </w:rPr>
      </w:pPr>
      <w:r>
        <w:rPr>
          <w:rFonts w:hint="eastAsia" w:ascii="宋体" w:hAnsi="宋体" w:cs="宋体"/>
          <w:color w:val="auto"/>
          <w:lang w:val="en-US" w:eastAsia="zh-CN"/>
        </w:rPr>
        <w:t>人行道闸</w:t>
      </w:r>
      <w:r>
        <w:rPr>
          <w:rFonts w:hint="eastAsia" w:asciiTheme="minorEastAsia" w:hAnsiTheme="minorEastAsia"/>
          <w:color w:val="auto"/>
          <w:sz w:val="24"/>
          <w:szCs w:val="24"/>
          <w:lang w:val="en-US" w:eastAsia="zh-CN"/>
        </w:rPr>
        <w:t>地面粘贴通行方向指示标识</w:t>
      </w:r>
    </w:p>
    <w:p w14:paraId="0BEC1A14">
      <w:pPr>
        <w:numPr>
          <w:ilvl w:val="0"/>
          <w:numId w:val="7"/>
        </w:numPr>
        <w:ind w:firstLine="480" w:firstLineChars="200"/>
        <w:rPr>
          <w:rFonts w:hint="eastAsia" w:ascii="宋体" w:hAnsi="宋体" w:cs="宋体"/>
          <w:color w:val="auto"/>
        </w:rPr>
      </w:pPr>
      <w:r>
        <w:rPr>
          <w:rFonts w:hint="eastAsia" w:asciiTheme="minorEastAsia" w:hAnsiTheme="minorEastAsia"/>
          <w:color w:val="auto"/>
          <w:sz w:val="24"/>
          <w:szCs w:val="24"/>
          <w:lang w:val="en-US" w:eastAsia="zh-CN"/>
        </w:rPr>
        <w:t>安装完成后需重新对系统进行配置，保证设备正常运行。</w:t>
      </w:r>
    </w:p>
    <w:p w14:paraId="7BAA599C">
      <w:pPr>
        <w:pStyle w:val="3"/>
        <w:rPr>
          <w:rFonts w:ascii="宋体" w:hAnsi="宋体" w:eastAsia="宋体" w:cs="宋体"/>
          <w:color w:val="auto"/>
        </w:rPr>
      </w:pPr>
      <w:r>
        <w:rPr>
          <w:rFonts w:hint="eastAsia" w:ascii="宋体" w:hAnsi="宋体" w:eastAsia="宋体" w:cs="宋体"/>
          <w:color w:val="auto"/>
          <w:lang w:val="en-US" w:eastAsia="zh-CN"/>
        </w:rPr>
        <w:t>车辆</w:t>
      </w:r>
      <w:r>
        <w:rPr>
          <w:rFonts w:hint="eastAsia" w:ascii="宋体" w:hAnsi="宋体" w:eastAsia="宋体" w:cs="宋体"/>
          <w:color w:val="auto"/>
        </w:rPr>
        <w:t>道闸</w:t>
      </w:r>
    </w:p>
    <w:p w14:paraId="0768E3D2">
      <w:pPr>
        <w:numPr>
          <w:ilvl w:val="0"/>
          <w:numId w:val="7"/>
        </w:numPr>
        <w:ind w:firstLine="480" w:firstLineChars="200"/>
        <w:rPr>
          <w:rFonts w:hint="eastAsia" w:ascii="宋体" w:hAnsi="宋体" w:cs="宋体"/>
          <w:color w:val="auto"/>
        </w:rPr>
      </w:pPr>
      <w:r>
        <w:rPr>
          <w:rFonts w:hint="eastAsia" w:ascii="宋体" w:hAnsi="宋体" w:cs="宋体"/>
          <w:color w:val="auto"/>
          <w:lang w:val="en-US" w:eastAsia="zh-CN"/>
        </w:rPr>
        <w:t>材</w:t>
      </w:r>
      <w:r>
        <w:rPr>
          <w:rFonts w:hint="eastAsia" w:ascii="宋体" w:hAnsi="宋体" w:cs="宋体"/>
          <w:color w:val="auto"/>
        </w:rPr>
        <w:t>质工艺</w:t>
      </w:r>
      <w:r>
        <w:rPr>
          <w:rFonts w:hint="eastAsia" w:ascii="宋体" w:hAnsi="宋体" w:cs="宋体"/>
          <w:color w:val="auto"/>
          <w:lang w:eastAsia="zh-CN"/>
        </w:rPr>
        <w:t>：</w:t>
      </w:r>
      <w:r>
        <w:rPr>
          <w:rFonts w:hint="eastAsia" w:ascii="宋体" w:hAnsi="宋体" w:cs="宋体"/>
          <w:color w:val="auto"/>
        </w:rPr>
        <w:t>冷轧板喷涂</w:t>
      </w:r>
    </w:p>
    <w:p w14:paraId="52AF1992">
      <w:pPr>
        <w:numPr>
          <w:ilvl w:val="0"/>
          <w:numId w:val="7"/>
        </w:numPr>
        <w:ind w:firstLine="480" w:firstLineChars="200"/>
        <w:rPr>
          <w:rFonts w:hint="eastAsia" w:ascii="宋体" w:hAnsi="宋体" w:cs="宋体"/>
          <w:color w:val="auto"/>
        </w:rPr>
      </w:pPr>
      <w:r>
        <w:rPr>
          <w:rFonts w:hint="eastAsia" w:ascii="宋体" w:hAnsi="宋体" w:cs="宋体"/>
          <w:color w:val="auto"/>
          <w:lang w:val="en-US" w:eastAsia="zh-CN"/>
        </w:rPr>
        <w:t>机芯：直流无刷减速电机</w:t>
      </w:r>
    </w:p>
    <w:p w14:paraId="347B6319">
      <w:pPr>
        <w:numPr>
          <w:ilvl w:val="0"/>
          <w:numId w:val="7"/>
        </w:numPr>
        <w:ind w:firstLine="480" w:firstLineChars="200"/>
        <w:rPr>
          <w:rFonts w:hint="eastAsia" w:ascii="宋体" w:hAnsi="宋体" w:cs="宋体"/>
          <w:color w:val="auto"/>
        </w:rPr>
      </w:pPr>
      <w:r>
        <w:rPr>
          <w:rFonts w:hint="eastAsia" w:ascii="宋体" w:hAnsi="宋体" w:cs="宋体"/>
          <w:color w:val="auto"/>
        </w:rPr>
        <w:t>闸杆</w:t>
      </w:r>
      <w:r>
        <w:rPr>
          <w:rFonts w:hint="eastAsia" w:ascii="宋体" w:hAnsi="宋体" w:cs="宋体"/>
          <w:color w:val="auto"/>
          <w:lang w:eastAsia="zh-CN"/>
        </w:rPr>
        <w:t>：</w:t>
      </w:r>
      <w:r>
        <w:rPr>
          <w:rFonts w:hint="eastAsia" w:ascii="宋体" w:hAnsi="宋体" w:cs="宋体"/>
          <w:color w:val="auto"/>
        </w:rPr>
        <w:t>栅栏杆</w:t>
      </w:r>
      <w:r>
        <w:rPr>
          <w:rFonts w:hint="eastAsia" w:ascii="宋体" w:hAnsi="宋体" w:cs="宋体"/>
          <w:color w:val="auto"/>
          <w:lang w:val="en-US" w:eastAsia="zh-CN"/>
        </w:rPr>
        <w:t>约5</w:t>
      </w:r>
      <w:r>
        <w:rPr>
          <w:rFonts w:hint="eastAsia" w:ascii="宋体" w:hAnsi="宋体" w:cs="宋体"/>
          <w:color w:val="auto"/>
        </w:rPr>
        <w:t>米</w:t>
      </w:r>
      <w:r>
        <w:rPr>
          <w:rFonts w:hint="eastAsia" w:ascii="宋体" w:hAnsi="宋体" w:cs="宋体"/>
          <w:color w:val="auto"/>
          <w:lang w:eastAsia="zh-CN"/>
        </w:rPr>
        <w:t>（</w:t>
      </w:r>
      <w:r>
        <w:rPr>
          <w:rFonts w:hint="eastAsia" w:ascii="宋体" w:hAnsi="宋体" w:cs="宋体"/>
          <w:color w:val="auto"/>
          <w:lang w:val="en-US" w:eastAsia="zh-CN"/>
        </w:rPr>
        <w:t>须根据现场情况而定）</w:t>
      </w:r>
    </w:p>
    <w:p w14:paraId="2D394943">
      <w:pPr>
        <w:numPr>
          <w:ilvl w:val="0"/>
          <w:numId w:val="7"/>
        </w:numPr>
        <w:ind w:firstLine="480" w:firstLineChars="200"/>
        <w:rPr>
          <w:rFonts w:hint="eastAsia" w:ascii="宋体" w:hAnsi="宋体" w:cs="宋体"/>
          <w:color w:val="auto"/>
        </w:rPr>
      </w:pPr>
      <w:r>
        <w:rPr>
          <w:rFonts w:hint="eastAsia" w:ascii="宋体" w:hAnsi="宋体" w:cs="宋体"/>
          <w:color w:val="auto"/>
        </w:rPr>
        <w:t>整机功率</w:t>
      </w:r>
      <w:r>
        <w:rPr>
          <w:rFonts w:hint="eastAsia" w:ascii="宋体" w:hAnsi="宋体" w:cs="宋体"/>
          <w:color w:val="auto"/>
          <w:lang w:eastAsia="zh-CN"/>
        </w:rPr>
        <w:t>：</w:t>
      </w:r>
      <w:r>
        <w:rPr>
          <w:rFonts w:hint="eastAsia" w:ascii="宋体" w:hAnsi="宋体" w:cs="宋体"/>
          <w:color w:val="auto"/>
        </w:rPr>
        <w:t>≤200W</w:t>
      </w:r>
    </w:p>
    <w:p w14:paraId="0DAC23B0">
      <w:pPr>
        <w:numPr>
          <w:ilvl w:val="0"/>
          <w:numId w:val="7"/>
        </w:numPr>
        <w:ind w:firstLine="480" w:firstLineChars="200"/>
        <w:rPr>
          <w:rFonts w:hint="eastAsia" w:ascii="宋体" w:hAnsi="宋体" w:cs="宋体"/>
          <w:color w:val="auto"/>
        </w:rPr>
      </w:pPr>
      <w:r>
        <w:rPr>
          <w:rFonts w:hint="eastAsia" w:ascii="宋体" w:hAnsi="宋体" w:cs="宋体"/>
          <w:color w:val="auto"/>
        </w:rPr>
        <w:t>运行寿命</w:t>
      </w:r>
      <w:r>
        <w:rPr>
          <w:rFonts w:hint="eastAsia" w:ascii="宋体" w:hAnsi="宋体" w:cs="宋体"/>
          <w:color w:val="auto"/>
          <w:lang w:eastAsia="zh-CN"/>
        </w:rPr>
        <w:t>：</w:t>
      </w:r>
      <w:r>
        <w:rPr>
          <w:rFonts w:hint="eastAsia" w:ascii="宋体" w:hAnsi="宋体" w:cs="宋体"/>
          <w:color w:val="auto"/>
          <w:lang w:val="en-US" w:eastAsia="zh-CN"/>
        </w:rPr>
        <w:t>≥</w:t>
      </w:r>
      <w:r>
        <w:rPr>
          <w:rFonts w:hint="eastAsia" w:ascii="宋体" w:hAnsi="宋体" w:cs="宋体"/>
          <w:color w:val="auto"/>
        </w:rPr>
        <w:t>500万次</w:t>
      </w:r>
    </w:p>
    <w:p w14:paraId="6B4C138A">
      <w:pPr>
        <w:numPr>
          <w:ilvl w:val="0"/>
          <w:numId w:val="7"/>
        </w:numPr>
        <w:ind w:firstLine="480" w:firstLineChars="200"/>
        <w:rPr>
          <w:rFonts w:hint="eastAsia" w:ascii="宋体" w:hAnsi="宋体" w:cs="宋体"/>
          <w:color w:val="auto"/>
        </w:rPr>
      </w:pPr>
      <w:r>
        <w:rPr>
          <w:rFonts w:hint="eastAsia" w:ascii="宋体" w:hAnsi="宋体" w:cs="宋体"/>
          <w:color w:val="auto"/>
          <w:lang w:val="en-US" w:eastAsia="zh-CN"/>
        </w:rPr>
        <w:t>标配遥控≥1个（各道闸）</w:t>
      </w:r>
    </w:p>
    <w:p w14:paraId="699E3F10">
      <w:pPr>
        <w:numPr>
          <w:ilvl w:val="0"/>
          <w:numId w:val="7"/>
        </w:numPr>
        <w:ind w:firstLine="480" w:firstLineChars="200"/>
        <w:rPr>
          <w:rFonts w:hint="eastAsia" w:ascii="宋体" w:hAnsi="宋体" w:cs="宋体"/>
          <w:color w:val="auto"/>
        </w:rPr>
      </w:pPr>
      <w:r>
        <w:rPr>
          <w:rFonts w:hint="eastAsia" w:ascii="宋体" w:hAnsi="宋体" w:cs="宋体"/>
          <w:color w:val="auto"/>
        </w:rPr>
        <w:t>防砸方式</w:t>
      </w:r>
      <w:r>
        <w:rPr>
          <w:rFonts w:hint="eastAsia" w:ascii="宋体" w:hAnsi="宋体" w:cs="宋体"/>
          <w:color w:val="auto"/>
          <w:lang w:eastAsia="zh-CN"/>
        </w:rPr>
        <w:t>：</w:t>
      </w:r>
      <w:r>
        <w:rPr>
          <w:rFonts w:hint="eastAsia" w:ascii="宋体" w:hAnsi="宋体" w:cs="宋体"/>
          <w:color w:val="auto"/>
          <w:lang w:val="en-US" w:eastAsia="zh-CN"/>
        </w:rPr>
        <w:t>如</w:t>
      </w:r>
      <w:r>
        <w:rPr>
          <w:rFonts w:hint="eastAsia" w:ascii="宋体" w:hAnsi="宋体" w:cs="宋体"/>
          <w:color w:val="auto"/>
        </w:rPr>
        <w:t>雷达</w:t>
      </w:r>
      <w:r>
        <w:rPr>
          <w:rFonts w:hint="eastAsia" w:ascii="宋体" w:hAnsi="宋体" w:cs="宋体"/>
          <w:color w:val="auto"/>
          <w:lang w:val="en-US" w:eastAsia="zh-CN"/>
        </w:rPr>
        <w:t>等</w:t>
      </w:r>
    </w:p>
    <w:p w14:paraId="033E326F">
      <w:pPr>
        <w:numPr>
          <w:ilvl w:val="0"/>
          <w:numId w:val="7"/>
        </w:numPr>
        <w:ind w:firstLine="480" w:firstLineChars="200"/>
        <w:rPr>
          <w:rFonts w:hint="eastAsia" w:ascii="宋体" w:hAnsi="宋体" w:cs="宋体"/>
          <w:color w:val="auto"/>
        </w:rPr>
      </w:pPr>
      <w:r>
        <w:rPr>
          <w:rFonts w:hint="eastAsia" w:ascii="宋体" w:hAnsi="宋体" w:cs="宋体"/>
          <w:color w:val="auto"/>
        </w:rPr>
        <w:t>工作电压AC 220</w:t>
      </w:r>
      <w:r>
        <w:rPr>
          <w:rFonts w:hint="eastAsia" w:ascii="宋体" w:hAnsi="宋体" w:cs="宋体"/>
          <w:color w:val="auto"/>
          <w:lang w:val="en-US" w:eastAsia="zh-CN"/>
        </w:rPr>
        <w:t>V±</w:t>
      </w:r>
      <w:r>
        <w:rPr>
          <w:rFonts w:hint="eastAsia" w:ascii="宋体" w:hAnsi="宋体" w:cs="宋体"/>
          <w:color w:val="auto"/>
        </w:rPr>
        <w:t>10% 50Hz</w:t>
      </w:r>
    </w:p>
    <w:p w14:paraId="59B1057D">
      <w:pPr>
        <w:numPr>
          <w:ilvl w:val="0"/>
          <w:numId w:val="7"/>
        </w:numPr>
        <w:ind w:firstLine="480" w:firstLineChars="200"/>
        <w:rPr>
          <w:rFonts w:hint="eastAsia" w:ascii="宋体" w:hAnsi="宋体" w:cs="宋体"/>
          <w:color w:val="auto"/>
        </w:rPr>
      </w:pPr>
      <w:r>
        <w:rPr>
          <w:rFonts w:hint="eastAsia" w:ascii="宋体" w:hAnsi="宋体" w:cs="宋体"/>
          <w:color w:val="auto"/>
        </w:rPr>
        <w:t>防护等级</w:t>
      </w:r>
      <w:r>
        <w:rPr>
          <w:rFonts w:hint="eastAsia" w:ascii="宋体" w:hAnsi="宋体" w:cs="宋体"/>
          <w:color w:val="auto"/>
          <w:lang w:eastAsia="zh-CN"/>
        </w:rPr>
        <w:t>：</w:t>
      </w:r>
      <w:r>
        <w:rPr>
          <w:rFonts w:hint="eastAsia" w:ascii="宋体" w:hAnsi="宋体" w:cs="宋体"/>
          <w:color w:val="auto"/>
          <w:lang w:val="en-US" w:eastAsia="zh-CN"/>
        </w:rPr>
        <w:t>达到或优于</w:t>
      </w:r>
      <w:r>
        <w:rPr>
          <w:rFonts w:hint="eastAsia" w:ascii="宋体" w:hAnsi="宋体" w:cs="宋体"/>
          <w:color w:val="auto"/>
        </w:rPr>
        <w:t>IP54</w:t>
      </w:r>
    </w:p>
    <w:p w14:paraId="2299D3F1">
      <w:pPr>
        <w:numPr>
          <w:ilvl w:val="0"/>
          <w:numId w:val="7"/>
        </w:numPr>
        <w:ind w:firstLine="480" w:firstLineChars="200"/>
        <w:rPr>
          <w:rFonts w:hint="eastAsia" w:ascii="宋体" w:hAnsi="宋体" w:cs="宋体"/>
          <w:color w:val="auto"/>
        </w:rPr>
      </w:pPr>
      <w:r>
        <w:rPr>
          <w:rFonts w:hint="eastAsia" w:ascii="宋体" w:hAnsi="宋体" w:cs="宋体"/>
          <w:color w:val="auto"/>
        </w:rPr>
        <w:t>适用环境</w:t>
      </w:r>
      <w:r>
        <w:rPr>
          <w:rFonts w:hint="eastAsia" w:ascii="宋体" w:hAnsi="宋体" w:cs="宋体"/>
          <w:color w:val="auto"/>
          <w:lang w:eastAsia="zh-CN"/>
        </w:rPr>
        <w:t>：</w:t>
      </w:r>
      <w:r>
        <w:rPr>
          <w:rFonts w:hint="eastAsia" w:ascii="宋体" w:hAnsi="宋体" w:cs="宋体"/>
          <w:color w:val="auto"/>
        </w:rPr>
        <w:t>户外</w:t>
      </w:r>
      <w:r>
        <w:rPr>
          <w:rFonts w:hint="eastAsia" w:ascii="宋体" w:hAnsi="宋体" w:cs="宋体"/>
          <w:color w:val="auto"/>
          <w:lang w:val="en-US" w:eastAsia="zh-CN"/>
        </w:rPr>
        <w:t>.</w:t>
      </w:r>
    </w:p>
    <w:p w14:paraId="01F02716">
      <w:pPr>
        <w:pStyle w:val="2"/>
        <w:spacing w:line="360" w:lineRule="auto"/>
        <w:rPr>
          <w:rFonts w:ascii="宋体" w:hAnsi="宋体" w:cs="宋体"/>
          <w:color w:val="auto"/>
        </w:rPr>
      </w:pPr>
      <w:r>
        <w:rPr>
          <w:rFonts w:hint="eastAsia" w:ascii="宋体" w:hAnsi="宋体" w:cs="宋体"/>
          <w:color w:val="auto"/>
        </w:rPr>
        <w:t>技术要求</w:t>
      </w:r>
    </w:p>
    <w:p w14:paraId="03805CB1">
      <w:pPr>
        <w:pStyle w:val="24"/>
        <w:spacing w:line="360" w:lineRule="auto"/>
        <w:rPr>
          <w:rFonts w:ascii="宋体" w:hAnsi="宋体" w:cs="宋体"/>
          <w:bCs/>
          <w:color w:val="auto"/>
          <w:sz w:val="24"/>
          <w:szCs w:val="24"/>
        </w:rPr>
      </w:pPr>
      <w:r>
        <w:rPr>
          <w:rFonts w:hint="eastAsia" w:ascii="宋体" w:hAnsi="宋体" w:cs="宋体"/>
          <w:bCs/>
          <w:color w:val="auto"/>
          <w:sz w:val="24"/>
          <w:szCs w:val="24"/>
        </w:rPr>
        <w:t>（1）投标人提供的设备应符合国际及国内相关的技术标准和规范。</w:t>
      </w:r>
    </w:p>
    <w:p w14:paraId="41780412">
      <w:pPr>
        <w:pStyle w:val="24"/>
        <w:spacing w:line="360" w:lineRule="auto"/>
        <w:rPr>
          <w:rFonts w:ascii="宋体" w:hAnsi="宋体" w:cs="宋体"/>
          <w:bCs/>
          <w:color w:val="auto"/>
          <w:sz w:val="24"/>
          <w:szCs w:val="24"/>
        </w:rPr>
      </w:pPr>
      <w:r>
        <w:rPr>
          <w:rFonts w:hint="eastAsia" w:ascii="宋体" w:hAnsi="宋体" w:cs="宋体"/>
          <w:bCs/>
          <w:color w:val="auto"/>
          <w:sz w:val="24"/>
          <w:szCs w:val="24"/>
        </w:rPr>
        <w:t>（2）投标人提供的设备应具备高可用性、高可靠性和安全性，并兼顾技术的先进性和产品的成熟性。</w:t>
      </w:r>
    </w:p>
    <w:p w14:paraId="3F54CDB3">
      <w:pPr>
        <w:pStyle w:val="24"/>
        <w:spacing w:line="360" w:lineRule="auto"/>
        <w:rPr>
          <w:rFonts w:ascii="宋体" w:hAnsi="宋体" w:cs="宋体"/>
          <w:bCs/>
          <w:color w:val="auto"/>
          <w:sz w:val="24"/>
          <w:szCs w:val="24"/>
        </w:rPr>
      </w:pPr>
      <w:r>
        <w:rPr>
          <w:rFonts w:hint="eastAsia" w:ascii="宋体" w:hAnsi="宋体" w:cs="宋体"/>
          <w:bCs/>
          <w:color w:val="auto"/>
          <w:sz w:val="24"/>
          <w:szCs w:val="24"/>
        </w:rPr>
        <w:t>（3）投标人提供的设备应具备合法的知识产权。</w:t>
      </w:r>
    </w:p>
    <w:p w14:paraId="071937D3">
      <w:pPr>
        <w:pStyle w:val="24"/>
        <w:spacing w:line="360" w:lineRule="auto"/>
        <w:rPr>
          <w:rFonts w:ascii="宋体" w:hAnsi="宋体" w:cs="宋体"/>
          <w:bCs/>
          <w:color w:val="auto"/>
          <w:sz w:val="24"/>
          <w:szCs w:val="24"/>
        </w:rPr>
      </w:pPr>
      <w:r>
        <w:rPr>
          <w:rFonts w:hint="eastAsia" w:ascii="宋体" w:hAnsi="宋体" w:cs="宋体"/>
          <w:bCs/>
          <w:color w:val="auto"/>
          <w:sz w:val="24"/>
          <w:szCs w:val="24"/>
        </w:rPr>
        <w:t>（4）投标人提供的产品在国内有完善的技术支持和售后服务体系。</w:t>
      </w:r>
    </w:p>
    <w:p w14:paraId="08D596F8">
      <w:pPr>
        <w:pStyle w:val="24"/>
        <w:spacing w:line="360" w:lineRule="auto"/>
        <w:rPr>
          <w:rFonts w:ascii="宋体" w:hAnsi="宋体" w:cs="宋体"/>
          <w:bCs/>
          <w:color w:val="auto"/>
          <w:sz w:val="24"/>
          <w:szCs w:val="24"/>
        </w:rPr>
      </w:pPr>
      <w:r>
        <w:rPr>
          <w:rFonts w:hint="eastAsia" w:ascii="宋体" w:hAnsi="宋体" w:cs="宋体"/>
          <w:bCs/>
          <w:color w:val="auto"/>
          <w:sz w:val="24"/>
          <w:szCs w:val="24"/>
        </w:rPr>
        <w:t>（5）投标人需对售后服务做出书面承诺。（提供承诺函，格式自拟）</w:t>
      </w:r>
    </w:p>
    <w:p w14:paraId="274073F8">
      <w:pPr>
        <w:pStyle w:val="24"/>
        <w:spacing w:line="360" w:lineRule="auto"/>
        <w:rPr>
          <w:rFonts w:hint="eastAsia" w:ascii="宋体" w:hAnsi="宋体" w:cs="宋体"/>
          <w:bCs/>
          <w:color w:val="auto"/>
          <w:sz w:val="24"/>
          <w:szCs w:val="24"/>
        </w:rPr>
      </w:pPr>
      <w:r>
        <w:rPr>
          <w:rFonts w:hint="eastAsia" w:ascii="宋体" w:hAnsi="宋体" w:cs="宋体"/>
          <w:bCs/>
          <w:color w:val="auto"/>
          <w:sz w:val="24"/>
          <w:szCs w:val="24"/>
        </w:rPr>
        <w:t>（6）具体参数参照设备清单。（需提供相关产品文件证明）</w:t>
      </w:r>
    </w:p>
    <w:p w14:paraId="3E382F94">
      <w:pPr>
        <w:pStyle w:val="24"/>
        <w:spacing w:line="360" w:lineRule="auto"/>
        <w:rPr>
          <w:rFonts w:hint="eastAsia" w:ascii="宋体" w:hAnsi="宋体" w:cs="宋体"/>
          <w:bCs/>
          <w:color w:val="auto"/>
          <w:sz w:val="24"/>
          <w:szCs w:val="24"/>
          <w:lang w:eastAsia="zh-CN"/>
        </w:rPr>
      </w:pP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7</w:t>
      </w:r>
      <w:r>
        <w:rPr>
          <w:rFonts w:hint="eastAsia" w:ascii="宋体" w:hAnsi="宋体" w:cs="宋体"/>
          <w:bCs/>
          <w:color w:val="auto"/>
          <w:sz w:val="24"/>
          <w:szCs w:val="24"/>
          <w:lang w:eastAsia="zh-CN"/>
        </w:rPr>
        <w:t>）★投标人所投</w:t>
      </w:r>
      <w:r>
        <w:rPr>
          <w:rFonts w:hint="eastAsia" w:ascii="宋体" w:hAnsi="宋体" w:cs="宋体"/>
          <w:bCs/>
          <w:color w:val="auto"/>
          <w:sz w:val="24"/>
          <w:szCs w:val="24"/>
          <w:lang w:val="en-US" w:eastAsia="zh-CN"/>
        </w:rPr>
        <w:t>车辆道闸设备</w:t>
      </w: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须</w:t>
      </w:r>
      <w:r>
        <w:rPr>
          <w:rFonts w:hint="eastAsia" w:ascii="宋体" w:hAnsi="宋体" w:cs="宋体"/>
          <w:bCs/>
          <w:color w:val="auto"/>
          <w:sz w:val="24"/>
          <w:szCs w:val="24"/>
          <w:lang w:eastAsia="zh-CN"/>
        </w:rPr>
        <w:t>可接入我院现有</w:t>
      </w:r>
      <w:r>
        <w:rPr>
          <w:rFonts w:hint="eastAsia" w:ascii="宋体" w:hAnsi="宋体" w:cs="宋体"/>
          <w:bCs/>
          <w:color w:val="auto"/>
          <w:sz w:val="24"/>
          <w:szCs w:val="24"/>
          <w:lang w:val="en-US" w:eastAsia="zh-CN"/>
        </w:rPr>
        <w:t>车辆</w:t>
      </w:r>
      <w:r>
        <w:rPr>
          <w:rFonts w:hint="eastAsia" w:ascii="宋体" w:hAnsi="宋体" w:cs="宋体"/>
          <w:bCs/>
          <w:color w:val="auto"/>
          <w:sz w:val="24"/>
          <w:szCs w:val="24"/>
          <w:lang w:eastAsia="zh-CN"/>
        </w:rPr>
        <w:t>管理平台系统统一管理</w:t>
      </w:r>
      <w:r>
        <w:rPr>
          <w:rFonts w:hint="eastAsia" w:ascii="宋体" w:hAnsi="宋体" w:cs="宋体"/>
          <w:bCs/>
          <w:color w:val="auto"/>
          <w:sz w:val="24"/>
          <w:szCs w:val="24"/>
          <w:lang w:val="en-US" w:eastAsia="zh-CN"/>
        </w:rPr>
        <w:t>。车牌抓拍摄像头需根据调整后的方向重新配置参数及收费系统。</w:t>
      </w:r>
      <w:r>
        <w:rPr>
          <w:rFonts w:hint="eastAsia" w:ascii="宋体" w:hAnsi="宋体" w:cs="宋体"/>
          <w:bCs/>
          <w:color w:val="auto"/>
          <w:sz w:val="24"/>
          <w:szCs w:val="24"/>
          <w:lang w:eastAsia="zh-CN"/>
        </w:rPr>
        <w:t>需有广州售后人员。否则，由此引发的所有损失由中标人负责。（投标人提供承诺函）</w:t>
      </w:r>
    </w:p>
    <w:p w14:paraId="43BB6070">
      <w:pPr>
        <w:pStyle w:val="24"/>
        <w:spacing w:line="360" w:lineRule="auto"/>
        <w:rPr>
          <w:rFonts w:hint="eastAsia" w:ascii="宋体" w:hAnsi="宋体" w:cs="宋体"/>
          <w:bCs/>
          <w:color w:val="auto"/>
          <w:sz w:val="24"/>
          <w:szCs w:val="24"/>
          <w:lang w:eastAsia="zh-CN"/>
        </w:rPr>
      </w:pP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8</w:t>
      </w:r>
      <w:r>
        <w:rPr>
          <w:rFonts w:hint="eastAsia" w:ascii="宋体" w:hAnsi="宋体" w:cs="宋体"/>
          <w:bCs/>
          <w:color w:val="auto"/>
          <w:sz w:val="24"/>
          <w:szCs w:val="24"/>
          <w:lang w:eastAsia="zh-CN"/>
        </w:rPr>
        <w:t>）▲投标人在投标时，需提供所投设备原厂加盖公章的授权函。否则由此引发的所有损失由中标人负责。</w:t>
      </w:r>
    </w:p>
    <w:p w14:paraId="4617D8F7">
      <w:pPr>
        <w:pStyle w:val="24"/>
        <w:spacing w:line="360" w:lineRule="auto"/>
        <w:ind w:firstLine="566" w:firstLineChars="236"/>
        <w:rPr>
          <w:rFonts w:ascii="宋体" w:hAnsi="宋体" w:cs="宋体"/>
          <w:bCs/>
          <w:color w:val="auto"/>
          <w:sz w:val="24"/>
          <w:szCs w:val="24"/>
        </w:rPr>
      </w:pPr>
      <w:r>
        <w:rPr>
          <w:rFonts w:hint="eastAsia" w:ascii="宋体" w:hAnsi="宋体" w:cs="宋体"/>
          <w:bCs/>
          <w:color w:val="auto"/>
          <w:sz w:val="24"/>
          <w:szCs w:val="24"/>
        </w:rPr>
        <w:t>（</w:t>
      </w:r>
      <w:r>
        <w:rPr>
          <w:rFonts w:hint="eastAsia" w:ascii="宋体" w:hAnsi="宋体" w:cs="宋体"/>
          <w:bCs/>
          <w:color w:val="auto"/>
          <w:sz w:val="24"/>
          <w:szCs w:val="24"/>
          <w:lang w:val="en-US" w:eastAsia="zh-CN"/>
        </w:rPr>
        <w:t>9</w:t>
      </w:r>
      <w:r>
        <w:rPr>
          <w:rFonts w:hint="eastAsia" w:ascii="宋体" w:hAnsi="宋体" w:cs="宋体"/>
          <w:bCs/>
          <w:color w:val="auto"/>
          <w:sz w:val="24"/>
          <w:szCs w:val="24"/>
        </w:rPr>
        <w:t>）投标人在投标时提供产品样册证明，招标人将对到货产品进行现场核验，如发现实际参数与投标参数不一致时，将视为投标人存在弄虚作假行为，取消中标资格。</w:t>
      </w:r>
    </w:p>
    <w:p w14:paraId="62956C97">
      <w:pPr>
        <w:pStyle w:val="2"/>
        <w:spacing w:line="360" w:lineRule="auto"/>
        <w:rPr>
          <w:rFonts w:ascii="宋体" w:hAnsi="宋体" w:cs="宋体"/>
          <w:color w:val="auto"/>
        </w:rPr>
      </w:pPr>
      <w:r>
        <w:rPr>
          <w:rFonts w:hint="eastAsia" w:ascii="宋体" w:hAnsi="宋体" w:cs="宋体"/>
          <w:color w:val="auto"/>
        </w:rPr>
        <w:t>商务要求：</w:t>
      </w:r>
    </w:p>
    <w:p w14:paraId="25844226">
      <w:pPr>
        <w:pStyle w:val="3"/>
        <w:spacing w:line="360" w:lineRule="auto"/>
        <w:rPr>
          <w:rFonts w:ascii="宋体" w:hAnsi="宋体" w:eastAsia="宋体" w:cs="宋体"/>
          <w:color w:val="auto"/>
        </w:rPr>
      </w:pPr>
      <w:r>
        <w:rPr>
          <w:rFonts w:hint="eastAsia" w:ascii="宋体" w:hAnsi="宋体" w:eastAsia="宋体" w:cs="宋体"/>
          <w:color w:val="auto"/>
        </w:rPr>
        <w:t>安装调试</w:t>
      </w:r>
    </w:p>
    <w:p w14:paraId="07FF9BFA">
      <w:pPr>
        <w:tabs>
          <w:tab w:val="left" w:pos="2340"/>
        </w:tabs>
        <w:autoSpaceDE/>
        <w:autoSpaceDN/>
        <w:snapToGrid w:val="0"/>
        <w:ind w:firstLine="480" w:firstLineChars="200"/>
        <w:jc w:val="both"/>
        <w:rPr>
          <w:rFonts w:ascii="宋体" w:hAnsi="宋体" w:cs="宋体"/>
          <w:color w:val="auto"/>
          <w:szCs w:val="24"/>
        </w:rPr>
      </w:pPr>
      <w:r>
        <w:rPr>
          <w:rFonts w:hint="eastAsia" w:ascii="宋体" w:hAnsi="宋体" w:cs="宋体"/>
          <w:color w:val="auto"/>
          <w:szCs w:val="24"/>
        </w:rPr>
        <w:t>1.中标人负责合同下所有设备的安装调试工作，安装调试中所涉费用由中标人自行承担。在安装调试期间所发生的中标人人员的交通费、食宿费用等由中标人自行承担。</w:t>
      </w:r>
    </w:p>
    <w:p w14:paraId="00643648">
      <w:pPr>
        <w:tabs>
          <w:tab w:val="left" w:pos="2340"/>
        </w:tabs>
        <w:autoSpaceDE/>
        <w:autoSpaceDN/>
        <w:snapToGrid w:val="0"/>
        <w:ind w:firstLine="480" w:firstLineChars="200"/>
        <w:jc w:val="both"/>
        <w:rPr>
          <w:rFonts w:ascii="宋体" w:hAnsi="宋体" w:cs="宋体"/>
          <w:color w:val="auto"/>
          <w:szCs w:val="24"/>
        </w:rPr>
      </w:pPr>
      <w:r>
        <w:rPr>
          <w:rFonts w:hint="eastAsia" w:ascii="宋体" w:hAnsi="宋体" w:cs="宋体"/>
          <w:color w:val="auto"/>
          <w:szCs w:val="24"/>
        </w:rPr>
        <w:t>2.中标人应派足够、技术熟练且具备相应资质的技术人员到现场进行设备安装调试工作。现场工作期间，中标人应对安装现场的其他设备、设施有良好保护措施，如因中标人原因造成招标人安装场地或安装场地内其他设备、设施损坏的，中标人承担全部赔偿责任。</w:t>
      </w:r>
    </w:p>
    <w:p w14:paraId="133E5DCD">
      <w:pPr>
        <w:tabs>
          <w:tab w:val="left" w:pos="2340"/>
        </w:tabs>
        <w:autoSpaceDE/>
        <w:autoSpaceDN/>
        <w:snapToGrid w:val="0"/>
        <w:ind w:firstLine="480" w:firstLineChars="200"/>
        <w:jc w:val="both"/>
        <w:rPr>
          <w:rFonts w:ascii="宋体" w:hAnsi="宋体" w:cs="宋体"/>
          <w:color w:val="auto"/>
          <w:szCs w:val="24"/>
        </w:rPr>
      </w:pPr>
      <w:r>
        <w:rPr>
          <w:rFonts w:hint="eastAsia" w:ascii="宋体" w:hAnsi="宋体" w:cs="宋体"/>
          <w:color w:val="auto"/>
          <w:szCs w:val="24"/>
        </w:rPr>
        <w:t>3.中标人需在合同设备送达招标人指定地点并完成安装调试后为招标人的相关操作人员提供设备操作、维护培训，以确保招标人相关操作人员能够正确、熟练掌握产品的设备操作方法、日常维护知识及简单的故障排除。培训的主要内容为设备的基本结构、性能、主要部件的构造及修理、日常使用保养与管理、常见故障的排除、紧急情况的处理等，培训地点主要在设备安装现场或由招标人安排。在培训期间所发生的中标人人员的交通费、食宿费用、培训及其他相关费用等已包含在合同设备总价内。</w:t>
      </w:r>
    </w:p>
    <w:p w14:paraId="258AEE21">
      <w:pPr>
        <w:pStyle w:val="3"/>
        <w:spacing w:line="360" w:lineRule="auto"/>
        <w:rPr>
          <w:rFonts w:ascii="宋体" w:hAnsi="宋体" w:eastAsia="宋体" w:cs="宋体"/>
          <w:color w:val="auto"/>
        </w:rPr>
      </w:pPr>
      <w:r>
        <w:rPr>
          <w:rFonts w:hint="eastAsia" w:ascii="宋体" w:hAnsi="宋体" w:eastAsia="宋体" w:cs="宋体"/>
          <w:color w:val="auto"/>
        </w:rPr>
        <w:t>项目交付的时间和地点</w:t>
      </w:r>
    </w:p>
    <w:p w14:paraId="51BAD18B">
      <w:pPr>
        <w:numPr>
          <w:ilvl w:val="0"/>
          <w:numId w:val="8"/>
        </w:numPr>
        <w:tabs>
          <w:tab w:val="left" w:pos="2340"/>
        </w:tabs>
        <w:autoSpaceDE/>
        <w:autoSpaceDN/>
        <w:snapToGrid w:val="0"/>
        <w:jc w:val="both"/>
        <w:rPr>
          <w:rFonts w:ascii="宋体" w:hAnsi="宋体" w:cs="宋体"/>
          <w:color w:val="auto"/>
          <w:szCs w:val="24"/>
        </w:rPr>
      </w:pPr>
      <w:r>
        <w:rPr>
          <w:rFonts w:hint="eastAsia" w:ascii="宋体" w:hAnsi="宋体" w:cs="宋体"/>
          <w:color w:val="auto"/>
        </w:rPr>
        <w:t>交付的时间：</w:t>
      </w:r>
      <w:r>
        <w:rPr>
          <w:rFonts w:hint="eastAsia" w:ascii="宋体" w:hAnsi="宋体" w:cs="宋体"/>
          <w:color w:val="auto"/>
          <w:kern w:val="2"/>
          <w:szCs w:val="24"/>
          <w:u w:val="single"/>
        </w:rPr>
        <w:t>自合同签订之日起30日历天内</w:t>
      </w:r>
      <w:r>
        <w:rPr>
          <w:rFonts w:hint="eastAsia" w:ascii="宋体" w:hAnsi="宋体" w:cs="宋体"/>
          <w:color w:val="auto"/>
        </w:rPr>
        <w:t>。</w:t>
      </w:r>
    </w:p>
    <w:p w14:paraId="1BCDC27D">
      <w:pPr>
        <w:numPr>
          <w:ilvl w:val="0"/>
          <w:numId w:val="8"/>
        </w:numPr>
        <w:tabs>
          <w:tab w:val="left" w:pos="2340"/>
        </w:tabs>
        <w:autoSpaceDE/>
        <w:autoSpaceDN/>
        <w:snapToGrid w:val="0"/>
        <w:jc w:val="both"/>
        <w:rPr>
          <w:rFonts w:ascii="宋体" w:hAnsi="宋体" w:cs="宋体"/>
          <w:color w:val="auto"/>
          <w:szCs w:val="24"/>
        </w:rPr>
      </w:pPr>
      <w:r>
        <w:rPr>
          <w:rFonts w:hint="eastAsia" w:ascii="宋体" w:hAnsi="宋体" w:cs="宋体"/>
          <w:color w:val="auto"/>
        </w:rPr>
        <w:t>交付的地点：</w:t>
      </w:r>
      <w:r>
        <w:rPr>
          <w:rFonts w:hint="eastAsia" w:ascii="宋体" w:hAnsi="宋体" w:cs="宋体"/>
          <w:color w:val="auto"/>
          <w:u w:val="single"/>
        </w:rPr>
        <w:t>广东省广州市黄埔区长贤路55号广州医科大学附属第三医院黄埔</w:t>
      </w:r>
      <w:r>
        <w:rPr>
          <w:rFonts w:hint="eastAsia" w:ascii="宋体" w:hAnsi="宋体" w:cs="宋体"/>
          <w:color w:val="auto"/>
          <w:u w:val="single"/>
          <w:lang w:val="en-US" w:eastAsia="zh-CN"/>
        </w:rPr>
        <w:t>院区</w:t>
      </w:r>
      <w:r>
        <w:rPr>
          <w:rFonts w:hint="eastAsia" w:ascii="宋体" w:hAnsi="宋体" w:cs="宋体"/>
          <w:color w:val="auto"/>
          <w:szCs w:val="24"/>
        </w:rPr>
        <w:t>。</w:t>
      </w:r>
    </w:p>
    <w:p w14:paraId="5AB2FEA4">
      <w:pPr>
        <w:pStyle w:val="3"/>
        <w:spacing w:line="360" w:lineRule="auto"/>
        <w:rPr>
          <w:rFonts w:ascii="宋体" w:hAnsi="宋体" w:eastAsia="宋体" w:cs="宋体"/>
          <w:color w:val="auto"/>
        </w:rPr>
      </w:pPr>
      <w:r>
        <w:rPr>
          <w:rFonts w:hint="eastAsia" w:ascii="宋体" w:hAnsi="宋体" w:eastAsia="宋体" w:cs="宋体"/>
          <w:color w:val="auto"/>
        </w:rPr>
        <w:t>售后服务</w:t>
      </w:r>
    </w:p>
    <w:p w14:paraId="5CFEFBBD">
      <w:pPr>
        <w:numPr>
          <w:ilvl w:val="0"/>
          <w:numId w:val="9"/>
        </w:numPr>
        <w:tabs>
          <w:tab w:val="left" w:pos="2340"/>
        </w:tabs>
        <w:autoSpaceDE/>
        <w:autoSpaceDN/>
        <w:snapToGrid w:val="0"/>
        <w:jc w:val="both"/>
        <w:rPr>
          <w:rFonts w:ascii="宋体" w:hAnsi="宋体" w:cs="宋体"/>
          <w:color w:val="auto"/>
          <w:szCs w:val="24"/>
        </w:rPr>
      </w:pPr>
      <w:r>
        <w:rPr>
          <w:rFonts w:hint="eastAsia" w:ascii="宋体" w:hAnsi="宋体" w:cs="宋体"/>
          <w:color w:val="auto"/>
        </w:rPr>
        <w:t>★保修期：安装服务与整机质保</w:t>
      </w:r>
      <w:r>
        <w:rPr>
          <w:rFonts w:hint="eastAsia" w:ascii="宋体" w:hAnsi="宋体" w:cs="宋体"/>
          <w:color w:val="auto"/>
          <w:lang w:val="en-US" w:eastAsia="zh-CN"/>
        </w:rPr>
        <w:t>≥3</w:t>
      </w:r>
      <w:r>
        <w:rPr>
          <w:rFonts w:hint="eastAsia" w:ascii="宋体" w:hAnsi="宋体" w:cs="宋体"/>
          <w:color w:val="auto"/>
        </w:rPr>
        <w:t>年。</w:t>
      </w:r>
    </w:p>
    <w:p w14:paraId="167B99D2">
      <w:pPr>
        <w:numPr>
          <w:ilvl w:val="0"/>
          <w:numId w:val="9"/>
        </w:numPr>
        <w:snapToGrid w:val="0"/>
        <w:jc w:val="both"/>
        <w:rPr>
          <w:rFonts w:ascii="宋体" w:hAnsi="宋体" w:cs="宋体"/>
          <w:color w:val="auto"/>
        </w:rPr>
      </w:pPr>
      <w:r>
        <w:rPr>
          <w:rFonts w:hint="eastAsia" w:ascii="宋体" w:hAnsi="宋体" w:cs="宋体"/>
          <w:color w:val="auto"/>
        </w:rPr>
        <w:t>售后服务要求：质保期内，接到采购人维修通知后，供应商或厂家需要在2小时内到达现场，8小时内排除故障，如需更换配件的需要在2天内解决</w:t>
      </w:r>
      <w:r>
        <w:rPr>
          <w:rFonts w:hint="eastAsia" w:ascii="宋体" w:hAnsi="宋体" w:cs="宋体"/>
          <w:color w:val="auto"/>
          <w:szCs w:val="24"/>
        </w:rPr>
        <w:t>。</w:t>
      </w:r>
    </w:p>
    <w:p w14:paraId="63834B4A">
      <w:pPr>
        <w:pStyle w:val="3"/>
        <w:spacing w:line="360" w:lineRule="auto"/>
        <w:rPr>
          <w:rFonts w:ascii="宋体" w:hAnsi="宋体" w:eastAsia="宋体" w:cs="宋体"/>
          <w:color w:val="auto"/>
        </w:rPr>
      </w:pPr>
      <w:r>
        <w:rPr>
          <w:rFonts w:hint="eastAsia" w:ascii="宋体" w:hAnsi="宋体" w:eastAsia="宋体" w:cs="宋体"/>
          <w:color w:val="auto"/>
        </w:rPr>
        <w:t>实物验收</w:t>
      </w:r>
    </w:p>
    <w:p w14:paraId="4D41A80B">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一）本验收由实物验收和调试验收两部分组成。</w:t>
      </w:r>
    </w:p>
    <w:p w14:paraId="46FF6FFB">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二）实物验收</w:t>
      </w:r>
    </w:p>
    <w:p w14:paraId="664C9E20">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1.中标人应在合同签订之日起15天内将合同设备送达招标人指定地点，招标人应及时组织相关人员进行设备实物的验收。</w:t>
      </w:r>
    </w:p>
    <w:p w14:paraId="5D4D5AB8">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2.中标人应保证所提供设备的包装是原厂包装并确保包装完整。中标人所提供设备包装或防护不良的，招标人有权拒收并要求中标人需在3个工作日内予以更换；若中标人未能在3个工作日内更换符合包装及防护要求的设备，将视同中标人无法履行合同约定，招标人有权解除合同、要求中标人于7天内退还招标人已支付的合同下相应设备的款项并要求中标人承担由此给招标人造成的一切损失，同时招标人有权向中标人收取合同总价的5%作为违约金。</w:t>
      </w:r>
    </w:p>
    <w:p w14:paraId="74C3A8D5">
      <w:pPr>
        <w:tabs>
          <w:tab w:val="left" w:pos="360"/>
        </w:tabs>
        <w:autoSpaceDE/>
        <w:autoSpaceDN/>
        <w:snapToGrid w:val="0"/>
        <w:ind w:firstLine="480" w:firstLineChars="200"/>
        <w:jc w:val="both"/>
        <w:rPr>
          <w:rFonts w:ascii="宋体" w:hAnsi="宋体" w:cs="宋体"/>
          <w:bCs/>
          <w:szCs w:val="24"/>
        </w:rPr>
      </w:pPr>
      <w:r>
        <w:rPr>
          <w:rFonts w:hint="eastAsia" w:ascii="宋体" w:hAnsi="宋体" w:cs="宋体"/>
          <w:bCs/>
          <w:color w:val="auto"/>
          <w:szCs w:val="24"/>
        </w:rPr>
        <w:t>3.设备到达招标人指定地点后，双方应共同就设备的数量、规格型号等是否与合同约定相符进行验收，货物须为原厂商(制造商)未启封的全新包装，具有出厂合格证，序列号、包装箱号，并与出厂批号一致，且可追索查阅。所有随设备的附件必须齐全。中</w:t>
      </w:r>
      <w:r>
        <w:rPr>
          <w:rFonts w:hint="eastAsia" w:ascii="宋体" w:hAnsi="宋体" w:cs="宋体"/>
          <w:bCs/>
          <w:szCs w:val="24"/>
        </w:rPr>
        <w:t>标人应将关键主机设备的用户手册、保修手册、相关资料及配备件、随机工具等交付给招标人，且使用操作及安全须知等重要资料应附有中文说明,并由双方签章确认后实物验收完成。若中标人所提供的设备不符合合同的约定，招标人有权拒收并要求中标人需在3个工作日内予以更换；若中标人未能在3个工作日内更换符合合同约定的设备，将视同中标人无法履行合同约定，招标人有权解除合同、要求中标人于7天内退还招标人已支付的合同下相应设备的款项并要求中标人承担由此给招标人造成的一切损失，同时招标人有权向中标人收取合同总价的5%作为违约金。</w:t>
      </w:r>
    </w:p>
    <w:p w14:paraId="42F96DAA">
      <w:pPr>
        <w:tabs>
          <w:tab w:val="left" w:pos="360"/>
        </w:tabs>
        <w:autoSpaceDE/>
        <w:autoSpaceDN/>
        <w:snapToGrid w:val="0"/>
        <w:ind w:firstLine="480" w:firstLineChars="200"/>
        <w:jc w:val="both"/>
        <w:rPr>
          <w:rFonts w:ascii="宋体" w:hAnsi="宋体" w:cs="宋体"/>
          <w:bCs/>
          <w:szCs w:val="24"/>
        </w:rPr>
      </w:pPr>
      <w:r>
        <w:rPr>
          <w:rFonts w:hint="eastAsia" w:ascii="宋体" w:hAnsi="宋体" w:cs="宋体"/>
          <w:bCs/>
          <w:szCs w:val="24"/>
        </w:rPr>
        <w:t>三）调试验收</w:t>
      </w:r>
    </w:p>
    <w:p w14:paraId="0025AD18">
      <w:pPr>
        <w:tabs>
          <w:tab w:val="left" w:pos="360"/>
        </w:tabs>
        <w:autoSpaceDE/>
        <w:autoSpaceDN/>
        <w:snapToGrid w:val="0"/>
        <w:ind w:firstLine="480" w:firstLineChars="200"/>
        <w:jc w:val="both"/>
        <w:rPr>
          <w:rFonts w:ascii="宋体" w:hAnsi="宋体" w:cs="宋体"/>
        </w:rPr>
      </w:pPr>
      <w:r>
        <w:rPr>
          <w:rFonts w:hint="eastAsia" w:ascii="宋体" w:hAnsi="宋体" w:cs="宋体"/>
          <w:bCs/>
          <w:szCs w:val="24"/>
        </w:rPr>
        <w:t>1.中标人应保证在合同签订后30天内设备全部安装完毕，并自行将设备调试至正常运行的最佳状态。</w:t>
      </w:r>
    </w:p>
    <w:p w14:paraId="5FD3F4D8">
      <w:pPr>
        <w:autoSpaceDE/>
        <w:autoSpaceDN/>
        <w:snapToGrid w:val="0"/>
        <w:ind w:firstLine="480" w:firstLineChars="200"/>
        <w:jc w:val="both"/>
        <w:rPr>
          <w:rFonts w:ascii="宋体" w:hAnsi="宋体" w:cs="宋体"/>
          <w:bCs/>
          <w:color w:val="auto"/>
          <w:szCs w:val="24"/>
        </w:rPr>
      </w:pPr>
      <w:r>
        <w:rPr>
          <w:rFonts w:hint="eastAsia" w:ascii="宋体" w:hAnsi="宋体" w:cs="宋体"/>
          <w:bCs/>
          <w:szCs w:val="24"/>
        </w:rPr>
        <w:t>2.设备安装调试完成后7天内进行调试验收。中标人应在设备安装调试完成并对招标人相关操作人员进行设备操作、维护培训以使其能正常操作设备后及时通知招标人进行调试验收，调试验收由双方相关人员共同参加，中标人应保证合同下全部设备经安装调试后符合国家规定的相关质量标准、符合厂家的出厂标准、达到采购/招投标文件所述特殊要求同时符合</w:t>
      </w:r>
      <w:r>
        <w:rPr>
          <w:rFonts w:hint="eastAsia" w:ascii="宋体" w:hAnsi="宋体" w:cs="宋体"/>
          <w:bCs/>
          <w:color w:val="auto"/>
          <w:szCs w:val="24"/>
        </w:rPr>
        <w:t>双方约定的标准（如有），并能正常、无妨碍地使用，调试验收合格后由双方签章确认。</w:t>
      </w:r>
    </w:p>
    <w:p w14:paraId="7B3B25E6">
      <w:pPr>
        <w:pStyle w:val="14"/>
        <w:ind w:firstLine="480" w:firstLineChars="200"/>
        <w:rPr>
          <w:rFonts w:ascii="宋体" w:hAnsi="宋体" w:cs="宋体"/>
          <w:color w:val="auto"/>
          <w:sz w:val="24"/>
        </w:rPr>
      </w:pPr>
      <w:r>
        <w:rPr>
          <w:rFonts w:hint="eastAsia" w:ascii="宋体" w:hAnsi="宋体" w:cs="宋体"/>
          <w:bCs/>
          <w:color w:val="auto"/>
          <w:sz w:val="24"/>
          <w:szCs w:val="24"/>
        </w:rPr>
        <w:t>3.</w:t>
      </w:r>
      <w:r>
        <w:rPr>
          <w:rFonts w:hint="eastAsia" w:ascii="宋体" w:hAnsi="宋体" w:cs="宋体"/>
          <w:color w:val="auto"/>
          <w:sz w:val="24"/>
        </w:rPr>
        <w:t>项目验收标准：</w:t>
      </w:r>
    </w:p>
    <w:p w14:paraId="36671E99">
      <w:pPr>
        <w:ind w:firstLine="480" w:firstLineChars="200"/>
        <w:rPr>
          <w:rFonts w:ascii="宋体" w:hAnsi="宋体" w:cs="宋体"/>
          <w:color w:val="auto"/>
        </w:rPr>
      </w:pPr>
      <w:r>
        <w:rPr>
          <w:rFonts w:hint="eastAsia" w:ascii="宋体" w:hAnsi="宋体" w:cs="宋体"/>
          <w:color w:val="auto"/>
        </w:rPr>
        <w:t>（1）初验：设备上线后进行初验，由采购单位组织验收，初验标准为各种设备能正常运行。</w:t>
      </w:r>
    </w:p>
    <w:p w14:paraId="29473F1A">
      <w:pPr>
        <w:ind w:firstLine="480" w:firstLineChars="200"/>
        <w:rPr>
          <w:rFonts w:ascii="宋体" w:hAnsi="宋体" w:cs="宋体"/>
          <w:color w:val="auto"/>
        </w:rPr>
      </w:pPr>
      <w:r>
        <w:rPr>
          <w:rFonts w:hint="eastAsia" w:ascii="宋体" w:hAnsi="宋体" w:cs="宋体"/>
          <w:color w:val="auto"/>
        </w:rPr>
        <w:t>（2）终验：1个月试运行后,各种设备运转正常且无质量问题，为验收合格，若不合格，供应商负责维修或更换，并在达到验收条件时，再次向采购人提出验收书面申请。</w:t>
      </w:r>
    </w:p>
    <w:p w14:paraId="37E167CE">
      <w:pPr>
        <w:pStyle w:val="14"/>
        <w:rPr>
          <w:rFonts w:ascii="宋体" w:hAnsi="宋体" w:cs="宋体"/>
        </w:rPr>
      </w:pPr>
    </w:p>
    <w:sectPr>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04719"/>
    </w:sdtPr>
    <w:sdtContent>
      <w:p w14:paraId="668D6B1F">
        <w:pPr>
          <w:pStyle w:val="14"/>
          <w:jc w:val="center"/>
        </w:pPr>
        <w:r>
          <w:fldChar w:fldCharType="begin"/>
        </w:r>
        <w:r>
          <w:instrText xml:space="preserve"> PAGE   \* MERGEFORMAT </w:instrText>
        </w:r>
        <w:r>
          <w:fldChar w:fldCharType="separate"/>
        </w:r>
        <w:r>
          <w:rPr>
            <w:lang w:val="zh-CN"/>
          </w:rPr>
          <w:t>1</w:t>
        </w:r>
        <w:r>
          <w:rPr>
            <w:lang w:val="zh-CN"/>
          </w:rPr>
          <w:fldChar w:fldCharType="end"/>
        </w:r>
      </w:p>
    </w:sdtContent>
  </w:sdt>
  <w:p w14:paraId="1C8689BF">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4DEF5">
    <w:pPr>
      <w:pStyle w:val="15"/>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A6DF4A"/>
    <w:multiLevelType w:val="multilevel"/>
    <w:tmpl w:val="95A6DF4A"/>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5"/>
      <w:suff w:val="nothing"/>
      <w:lvlText w:val="%3．"/>
      <w:lvlJc w:val="left"/>
      <w:pPr>
        <w:ind w:left="0" w:firstLine="400"/>
      </w:pPr>
      <w:rPr>
        <w:rFonts w:hint="eastAsia"/>
      </w:rPr>
    </w:lvl>
    <w:lvl w:ilvl="3" w:tentative="0">
      <w:start w:val="1"/>
      <w:numFmt w:val="decimal"/>
      <w:pStyle w:val="6"/>
      <w:suff w:val="nothing"/>
      <w:lvlText w:val="（%4）"/>
      <w:lvlJc w:val="left"/>
      <w:pPr>
        <w:ind w:left="798"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1">
    <w:nsid w:val="95C60D5C"/>
    <w:multiLevelType w:val="singleLevel"/>
    <w:tmpl w:val="95C60D5C"/>
    <w:lvl w:ilvl="0" w:tentative="0">
      <w:start w:val="1"/>
      <w:numFmt w:val="bullet"/>
      <w:lvlText w:val=""/>
      <w:lvlJc w:val="left"/>
      <w:pPr>
        <w:ind w:left="420" w:hanging="420"/>
      </w:pPr>
      <w:rPr>
        <w:rFonts w:hint="default" w:ascii="Wingdings" w:hAnsi="Wingdings"/>
      </w:rPr>
    </w:lvl>
  </w:abstractNum>
  <w:abstractNum w:abstractNumId="2">
    <w:nsid w:val="AD30D842"/>
    <w:multiLevelType w:val="multilevel"/>
    <w:tmpl w:val="AD30D842"/>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3">
    <w:nsid w:val="B99E88A9"/>
    <w:multiLevelType w:val="singleLevel"/>
    <w:tmpl w:val="B99E88A9"/>
    <w:lvl w:ilvl="0" w:tentative="0">
      <w:start w:val="1"/>
      <w:numFmt w:val="bullet"/>
      <w:lvlText w:val=""/>
      <w:lvlJc w:val="left"/>
      <w:pPr>
        <w:ind w:left="420" w:hanging="420"/>
      </w:pPr>
      <w:rPr>
        <w:rFonts w:hint="default" w:ascii="Wingdings" w:hAnsi="Wingdings"/>
      </w:rPr>
    </w:lvl>
  </w:abstractNum>
  <w:abstractNum w:abstractNumId="4">
    <w:nsid w:val="18925ABF"/>
    <w:multiLevelType w:val="multilevel"/>
    <w:tmpl w:val="18925ABF"/>
    <w:lvl w:ilvl="0" w:tentative="0">
      <w:start w:val="1"/>
      <w:numFmt w:val="chineseCountingThousand"/>
      <w:lvlText w:val="(%1)"/>
      <w:lvlJc w:val="left"/>
      <w:pPr>
        <w:tabs>
          <w:tab w:val="left" w:pos="420"/>
        </w:tabs>
        <w:ind w:left="420" w:hanging="420"/>
      </w:pPr>
      <w:rPr>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1EE7F78"/>
    <w:multiLevelType w:val="multilevel"/>
    <w:tmpl w:val="41EE7F78"/>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6">
    <w:nsid w:val="4D2F1766"/>
    <w:multiLevelType w:val="singleLevel"/>
    <w:tmpl w:val="4D2F1766"/>
    <w:lvl w:ilvl="0" w:tentative="0">
      <w:start w:val="1"/>
      <w:numFmt w:val="decimal"/>
      <w:suff w:val="space"/>
      <w:lvlText w:val="%1."/>
      <w:lvlJc w:val="left"/>
    </w:lvl>
  </w:abstractNum>
  <w:abstractNum w:abstractNumId="7">
    <w:nsid w:val="55B541AC"/>
    <w:multiLevelType w:val="multilevel"/>
    <w:tmpl w:val="55B541AC"/>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8">
    <w:nsid w:val="594210CF"/>
    <w:multiLevelType w:val="singleLevel"/>
    <w:tmpl w:val="594210CF"/>
    <w:lvl w:ilvl="0" w:tentative="0">
      <w:start w:val="1"/>
      <w:numFmt w:val="bullet"/>
      <w:lvlText w:val=""/>
      <w:lvlJc w:val="left"/>
      <w:pPr>
        <w:ind w:left="420" w:hanging="420"/>
      </w:pPr>
      <w:rPr>
        <w:rFonts w:hint="default" w:ascii="Wingdings" w:hAnsi="Wingdings"/>
      </w:rPr>
    </w:lvl>
  </w:abstractNum>
  <w:num w:numId="1">
    <w:abstractNumId w:val="0"/>
  </w:num>
  <w:num w:numId="2">
    <w:abstractNumId w:val="4"/>
  </w:num>
  <w:num w:numId="3">
    <w:abstractNumId w:val="2"/>
  </w:num>
  <w:num w:numId="4">
    <w:abstractNumId w:val="1"/>
  </w:num>
  <w:num w:numId="5">
    <w:abstractNumId w:val="8"/>
  </w:num>
  <w:num w:numId="6">
    <w:abstractNumId w:val="3"/>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iMGY5ZjIzMDNkOGJkMDk5MGY1NmFhYjE2OTEyODcifQ=="/>
    <w:docVar w:name="KSO_WPS_MARK_KEY" w:val="0941698c-a33a-4f3b-8a0f-1e012744be27"/>
  </w:docVars>
  <w:rsids>
    <w:rsidRoot w:val="19A81A65"/>
    <w:rsid w:val="00055BEC"/>
    <w:rsid w:val="00093F6E"/>
    <w:rsid w:val="000A4A67"/>
    <w:rsid w:val="000A6C04"/>
    <w:rsid w:val="00115FE5"/>
    <w:rsid w:val="001341BC"/>
    <w:rsid w:val="0015134E"/>
    <w:rsid w:val="001751C4"/>
    <w:rsid w:val="0019471B"/>
    <w:rsid w:val="001B3324"/>
    <w:rsid w:val="001B41F9"/>
    <w:rsid w:val="001D6008"/>
    <w:rsid w:val="00224F79"/>
    <w:rsid w:val="00233D23"/>
    <w:rsid w:val="0027739F"/>
    <w:rsid w:val="00285831"/>
    <w:rsid w:val="002B3546"/>
    <w:rsid w:val="002D2D73"/>
    <w:rsid w:val="002E2148"/>
    <w:rsid w:val="002E3E4F"/>
    <w:rsid w:val="002F7102"/>
    <w:rsid w:val="003205B0"/>
    <w:rsid w:val="00335F05"/>
    <w:rsid w:val="00351682"/>
    <w:rsid w:val="003745FF"/>
    <w:rsid w:val="0039638B"/>
    <w:rsid w:val="003A2525"/>
    <w:rsid w:val="003A305C"/>
    <w:rsid w:val="00420393"/>
    <w:rsid w:val="00426EAD"/>
    <w:rsid w:val="0048195A"/>
    <w:rsid w:val="004E2516"/>
    <w:rsid w:val="004E6B22"/>
    <w:rsid w:val="005375DF"/>
    <w:rsid w:val="0057086B"/>
    <w:rsid w:val="0058196A"/>
    <w:rsid w:val="005B7E78"/>
    <w:rsid w:val="006469A4"/>
    <w:rsid w:val="006E39AC"/>
    <w:rsid w:val="00734BD4"/>
    <w:rsid w:val="00754BBB"/>
    <w:rsid w:val="00762ED4"/>
    <w:rsid w:val="007C1083"/>
    <w:rsid w:val="007C77BC"/>
    <w:rsid w:val="007F0B6B"/>
    <w:rsid w:val="007F3917"/>
    <w:rsid w:val="00883C00"/>
    <w:rsid w:val="008966A6"/>
    <w:rsid w:val="008D7B5C"/>
    <w:rsid w:val="00907EB4"/>
    <w:rsid w:val="009221D7"/>
    <w:rsid w:val="00943E4F"/>
    <w:rsid w:val="00976683"/>
    <w:rsid w:val="009870FB"/>
    <w:rsid w:val="009907BD"/>
    <w:rsid w:val="009913BC"/>
    <w:rsid w:val="009E5FF4"/>
    <w:rsid w:val="00A122FD"/>
    <w:rsid w:val="00A304C3"/>
    <w:rsid w:val="00A6705F"/>
    <w:rsid w:val="00A73669"/>
    <w:rsid w:val="00AE461E"/>
    <w:rsid w:val="00B234B3"/>
    <w:rsid w:val="00B35838"/>
    <w:rsid w:val="00B64D94"/>
    <w:rsid w:val="00B71A35"/>
    <w:rsid w:val="00B93522"/>
    <w:rsid w:val="00C0489E"/>
    <w:rsid w:val="00C1233F"/>
    <w:rsid w:val="00C16565"/>
    <w:rsid w:val="00C21898"/>
    <w:rsid w:val="00C4131D"/>
    <w:rsid w:val="00C75703"/>
    <w:rsid w:val="00CA04EA"/>
    <w:rsid w:val="00CB4AC7"/>
    <w:rsid w:val="00CF6FDA"/>
    <w:rsid w:val="00D60BAA"/>
    <w:rsid w:val="00D637A9"/>
    <w:rsid w:val="00D67765"/>
    <w:rsid w:val="00D95C48"/>
    <w:rsid w:val="00D97377"/>
    <w:rsid w:val="00DB5E1E"/>
    <w:rsid w:val="00E273D8"/>
    <w:rsid w:val="00E76872"/>
    <w:rsid w:val="00E80EDF"/>
    <w:rsid w:val="00E92F6F"/>
    <w:rsid w:val="00EF0FF0"/>
    <w:rsid w:val="00F07C92"/>
    <w:rsid w:val="00F50754"/>
    <w:rsid w:val="00F55D03"/>
    <w:rsid w:val="00F70BAD"/>
    <w:rsid w:val="01927028"/>
    <w:rsid w:val="01A118D1"/>
    <w:rsid w:val="045B547B"/>
    <w:rsid w:val="05C6318B"/>
    <w:rsid w:val="05D830A9"/>
    <w:rsid w:val="06564BBE"/>
    <w:rsid w:val="070036C2"/>
    <w:rsid w:val="07F820DC"/>
    <w:rsid w:val="08646E76"/>
    <w:rsid w:val="08D72F06"/>
    <w:rsid w:val="0949085A"/>
    <w:rsid w:val="099B0984"/>
    <w:rsid w:val="0AC1294F"/>
    <w:rsid w:val="0E9B4C74"/>
    <w:rsid w:val="0EEA388F"/>
    <w:rsid w:val="0F262E26"/>
    <w:rsid w:val="0FC94EEE"/>
    <w:rsid w:val="111C1C1F"/>
    <w:rsid w:val="118957EE"/>
    <w:rsid w:val="11C8152C"/>
    <w:rsid w:val="12BB699F"/>
    <w:rsid w:val="134333A4"/>
    <w:rsid w:val="14D97769"/>
    <w:rsid w:val="154174F4"/>
    <w:rsid w:val="15677277"/>
    <w:rsid w:val="15C2006F"/>
    <w:rsid w:val="16467111"/>
    <w:rsid w:val="16D0087C"/>
    <w:rsid w:val="17957DE7"/>
    <w:rsid w:val="18744285"/>
    <w:rsid w:val="187B7395"/>
    <w:rsid w:val="19132971"/>
    <w:rsid w:val="19A81A65"/>
    <w:rsid w:val="19B87D8A"/>
    <w:rsid w:val="1A3C697B"/>
    <w:rsid w:val="1AD06E1C"/>
    <w:rsid w:val="1BB609CB"/>
    <w:rsid w:val="1C481D12"/>
    <w:rsid w:val="1D4E2E3A"/>
    <w:rsid w:val="1D9751F1"/>
    <w:rsid w:val="1E5A7ADD"/>
    <w:rsid w:val="1E7352C5"/>
    <w:rsid w:val="1F0C7DFB"/>
    <w:rsid w:val="2091403A"/>
    <w:rsid w:val="21005E58"/>
    <w:rsid w:val="21180114"/>
    <w:rsid w:val="215D74B4"/>
    <w:rsid w:val="21F678F5"/>
    <w:rsid w:val="232A272E"/>
    <w:rsid w:val="233C1C0C"/>
    <w:rsid w:val="25E519B5"/>
    <w:rsid w:val="267F60DE"/>
    <w:rsid w:val="27457FBA"/>
    <w:rsid w:val="29151C7E"/>
    <w:rsid w:val="29AE3156"/>
    <w:rsid w:val="29D21253"/>
    <w:rsid w:val="2AF228E9"/>
    <w:rsid w:val="2B481888"/>
    <w:rsid w:val="2BA2543C"/>
    <w:rsid w:val="2D4C117B"/>
    <w:rsid w:val="2E686F9E"/>
    <w:rsid w:val="30D65675"/>
    <w:rsid w:val="31F13E96"/>
    <w:rsid w:val="31F5377C"/>
    <w:rsid w:val="322C488A"/>
    <w:rsid w:val="332826CA"/>
    <w:rsid w:val="33C80225"/>
    <w:rsid w:val="34DA52F0"/>
    <w:rsid w:val="354B0474"/>
    <w:rsid w:val="368316BE"/>
    <w:rsid w:val="3727713D"/>
    <w:rsid w:val="37E30B5F"/>
    <w:rsid w:val="37F012DD"/>
    <w:rsid w:val="38CA6E75"/>
    <w:rsid w:val="39AA24F1"/>
    <w:rsid w:val="3A3F7873"/>
    <w:rsid w:val="3A420ED3"/>
    <w:rsid w:val="3A695377"/>
    <w:rsid w:val="3E1D7CEA"/>
    <w:rsid w:val="3EC75D2D"/>
    <w:rsid w:val="3FF11EBC"/>
    <w:rsid w:val="4091592F"/>
    <w:rsid w:val="40F260C6"/>
    <w:rsid w:val="413E2ECE"/>
    <w:rsid w:val="415308DD"/>
    <w:rsid w:val="41B31BFE"/>
    <w:rsid w:val="44DE4948"/>
    <w:rsid w:val="47195F8F"/>
    <w:rsid w:val="48450E1D"/>
    <w:rsid w:val="48D805C0"/>
    <w:rsid w:val="49215F10"/>
    <w:rsid w:val="4AD1549C"/>
    <w:rsid w:val="4B132110"/>
    <w:rsid w:val="4DBE3EFF"/>
    <w:rsid w:val="4DC13902"/>
    <w:rsid w:val="4DD627C8"/>
    <w:rsid w:val="4E5559AC"/>
    <w:rsid w:val="4EA27608"/>
    <w:rsid w:val="4EE76455"/>
    <w:rsid w:val="4F1E2845"/>
    <w:rsid w:val="4F790CE8"/>
    <w:rsid w:val="52D44887"/>
    <w:rsid w:val="52E635B0"/>
    <w:rsid w:val="5325435C"/>
    <w:rsid w:val="53650979"/>
    <w:rsid w:val="53C20C47"/>
    <w:rsid w:val="54617393"/>
    <w:rsid w:val="55187E5A"/>
    <w:rsid w:val="569B3F36"/>
    <w:rsid w:val="56CB217C"/>
    <w:rsid w:val="59A90807"/>
    <w:rsid w:val="5AD07C78"/>
    <w:rsid w:val="5AF306ED"/>
    <w:rsid w:val="5B7C71A8"/>
    <w:rsid w:val="5C8B32FC"/>
    <w:rsid w:val="5E65529C"/>
    <w:rsid w:val="60A771F8"/>
    <w:rsid w:val="60CD295D"/>
    <w:rsid w:val="622131BD"/>
    <w:rsid w:val="62680BB8"/>
    <w:rsid w:val="645A6D39"/>
    <w:rsid w:val="65567251"/>
    <w:rsid w:val="65A2163C"/>
    <w:rsid w:val="69B93835"/>
    <w:rsid w:val="6A701C86"/>
    <w:rsid w:val="6D27714C"/>
    <w:rsid w:val="6DB10903"/>
    <w:rsid w:val="6F546EB5"/>
    <w:rsid w:val="6F70172E"/>
    <w:rsid w:val="701F2C46"/>
    <w:rsid w:val="70D11876"/>
    <w:rsid w:val="71752CE5"/>
    <w:rsid w:val="72164118"/>
    <w:rsid w:val="72A44684"/>
    <w:rsid w:val="74A0140B"/>
    <w:rsid w:val="768E1D0F"/>
    <w:rsid w:val="76D35ABC"/>
    <w:rsid w:val="77992821"/>
    <w:rsid w:val="799B469D"/>
    <w:rsid w:val="79A25BD4"/>
    <w:rsid w:val="79F457A7"/>
    <w:rsid w:val="79FC505E"/>
    <w:rsid w:val="7A447EF2"/>
    <w:rsid w:val="7B8D7482"/>
    <w:rsid w:val="7CDB6BAF"/>
    <w:rsid w:val="7D2C5EE0"/>
    <w:rsid w:val="7E6105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spacing w:line="360" w:lineRule="auto"/>
    </w:pPr>
    <w:rPr>
      <w:rFonts w:ascii="Times New Roman" w:hAnsi="Times New Roman" w:eastAsia="宋体" w:cs="Times New Roman"/>
      <w:sz w:val="24"/>
      <w:lang w:val="en-US" w:eastAsia="zh-CN" w:bidi="ar-SA"/>
    </w:rPr>
  </w:style>
  <w:style w:type="paragraph" w:styleId="2">
    <w:name w:val="heading 1"/>
    <w:basedOn w:val="1"/>
    <w:next w:val="1"/>
    <w:link w:val="25"/>
    <w:qFormat/>
    <w:uiPriority w:val="9"/>
    <w:pPr>
      <w:keepNext/>
      <w:keepLines/>
      <w:numPr>
        <w:ilvl w:val="0"/>
        <w:numId w:val="1"/>
      </w:numPr>
      <w:spacing w:before="340" w:after="330" w:line="576" w:lineRule="auto"/>
      <w:outlineLvl w:val="0"/>
    </w:pPr>
    <w:rPr>
      <w:b/>
      <w:kern w:val="44"/>
      <w:sz w:val="44"/>
    </w:rPr>
  </w:style>
  <w:style w:type="paragraph" w:styleId="3">
    <w:name w:val="heading 2"/>
    <w:basedOn w:val="1"/>
    <w:next w:val="4"/>
    <w:link w:val="29"/>
    <w:qFormat/>
    <w:uiPriority w:val="0"/>
    <w:pPr>
      <w:keepNext/>
      <w:keepLines/>
      <w:numPr>
        <w:ilvl w:val="1"/>
        <w:numId w:val="1"/>
      </w:numPr>
      <w:autoSpaceDE/>
      <w:autoSpaceDN/>
      <w:adjustRightInd/>
      <w:spacing w:before="260" w:after="260" w:line="416" w:lineRule="auto"/>
      <w:jc w:val="both"/>
      <w:outlineLvl w:val="1"/>
    </w:pPr>
    <w:rPr>
      <w:rFonts w:ascii="Arial" w:hAnsi="Arial" w:eastAsia="黑体"/>
      <w:b/>
      <w:bCs/>
      <w:kern w:val="2"/>
      <w:sz w:val="32"/>
      <w:szCs w:val="32"/>
    </w:rPr>
  </w:style>
  <w:style w:type="paragraph" w:styleId="5">
    <w:name w:val="heading 3"/>
    <w:basedOn w:val="1"/>
    <w:next w:val="4"/>
    <w:link w:val="31"/>
    <w:unhideWhenUsed/>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link w:val="32"/>
    <w:unhideWhenUsed/>
    <w:qFormat/>
    <w:uiPriority w:val="0"/>
    <w:pPr>
      <w:keepNext/>
      <w:keepLines/>
      <w:numPr>
        <w:ilvl w:val="3"/>
        <w:numId w:val="1"/>
      </w:numPr>
      <w:spacing w:before="280" w:after="290" w:line="376" w:lineRule="auto"/>
      <w:ind w:left="0"/>
      <w:outlineLvl w:val="3"/>
    </w:pPr>
    <w:rPr>
      <w:rFonts w:asciiTheme="majorHAnsi" w:hAnsiTheme="majorHAnsi" w:eastAsiaTheme="majorEastAsia" w:cstheme="majorBidi"/>
      <w:b/>
      <w:bCs/>
      <w:sz w:val="28"/>
      <w:szCs w:val="28"/>
    </w:rPr>
  </w:style>
  <w:style w:type="paragraph" w:styleId="7">
    <w:name w:val="heading 5"/>
    <w:basedOn w:val="1"/>
    <w:next w:val="1"/>
    <w:link w:val="33"/>
    <w:unhideWhenUsed/>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semiHidden/>
    <w:unhideWhenUsed/>
    <w:qFormat/>
    <w:uiPriority w:val="0"/>
    <w:pPr>
      <w:keepNext/>
      <w:keepLines/>
      <w:numPr>
        <w:ilvl w:val="5"/>
        <w:numId w:val="1"/>
      </w:numPr>
      <w:spacing w:line="317" w:lineRule="auto"/>
      <w:outlineLvl w:val="5"/>
    </w:pPr>
    <w:rPr>
      <w:rFonts w:ascii="Arial" w:hAnsi="Arial" w:eastAsia="黑体"/>
      <w:b/>
    </w:rPr>
  </w:style>
  <w:style w:type="paragraph" w:styleId="9">
    <w:name w:val="heading 7"/>
    <w:basedOn w:val="1"/>
    <w:next w:val="1"/>
    <w:semiHidden/>
    <w:unhideWhenUsed/>
    <w:qFormat/>
    <w:uiPriority w:val="0"/>
    <w:pPr>
      <w:keepNext/>
      <w:keepLines/>
      <w:numPr>
        <w:ilvl w:val="6"/>
        <w:numId w:val="1"/>
      </w:numPr>
      <w:spacing w:line="317" w:lineRule="auto"/>
      <w:outlineLvl w:val="6"/>
    </w:pPr>
    <w:rPr>
      <w:b/>
    </w:rPr>
  </w:style>
  <w:style w:type="paragraph" w:styleId="10">
    <w:name w:val="heading 8"/>
    <w:basedOn w:val="1"/>
    <w:next w:val="1"/>
    <w:semiHidden/>
    <w:unhideWhenUsed/>
    <w:qFormat/>
    <w:uiPriority w:val="0"/>
    <w:pPr>
      <w:keepNext/>
      <w:keepLines/>
      <w:numPr>
        <w:ilvl w:val="7"/>
        <w:numId w:val="1"/>
      </w:numPr>
      <w:spacing w:line="317" w:lineRule="auto"/>
      <w:outlineLvl w:val="7"/>
    </w:pPr>
    <w:rPr>
      <w:rFonts w:ascii="Arial" w:hAnsi="Arial" w:eastAsia="黑体"/>
    </w:rPr>
  </w:style>
  <w:style w:type="paragraph" w:styleId="11">
    <w:name w:val="heading 9"/>
    <w:basedOn w:val="1"/>
    <w:next w:val="1"/>
    <w:semiHidden/>
    <w:unhideWhenUsed/>
    <w:qFormat/>
    <w:uiPriority w:val="0"/>
    <w:pPr>
      <w:keepNext/>
      <w:keepLines/>
      <w:numPr>
        <w:ilvl w:val="8"/>
        <w:numId w:val="1"/>
      </w:numPr>
      <w:spacing w:line="317" w:lineRule="auto"/>
      <w:outlineLvl w:val="8"/>
    </w:pPr>
    <w:rPr>
      <w:rFonts w:ascii="Arial" w:hAnsi="Arial" w:eastAsia="黑体"/>
      <w:sz w:val="21"/>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12">
    <w:name w:val="annotation text"/>
    <w:basedOn w:val="1"/>
    <w:link w:val="35"/>
    <w:qFormat/>
    <w:uiPriority w:val="0"/>
  </w:style>
  <w:style w:type="paragraph" w:styleId="13">
    <w:name w:val="Balloon Text"/>
    <w:basedOn w:val="1"/>
    <w:link w:val="34"/>
    <w:qFormat/>
    <w:uiPriority w:val="0"/>
    <w:rPr>
      <w:sz w:val="18"/>
      <w:szCs w:val="18"/>
    </w:rPr>
  </w:style>
  <w:style w:type="paragraph" w:styleId="14">
    <w:name w:val="footer"/>
    <w:basedOn w:val="1"/>
    <w:link w:val="37"/>
    <w:qFormat/>
    <w:uiPriority w:val="99"/>
    <w:pPr>
      <w:tabs>
        <w:tab w:val="center" w:pos="4153"/>
        <w:tab w:val="right" w:pos="8306"/>
      </w:tabs>
      <w:snapToGrid w:val="0"/>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6">
    <w:name w:val="Body Text Indent 3"/>
    <w:basedOn w:val="1"/>
    <w:qFormat/>
    <w:uiPriority w:val="0"/>
    <w:pPr>
      <w:spacing w:after="120"/>
      <w:ind w:left="420" w:leftChars="200"/>
    </w:pPr>
    <w:rPr>
      <w:sz w:val="16"/>
      <w:szCs w:val="16"/>
    </w:rPr>
  </w:style>
  <w:style w:type="paragraph" w:styleId="17">
    <w:name w:val="Normal (Web)"/>
    <w:basedOn w:val="1"/>
    <w:qFormat/>
    <w:uiPriority w:val="99"/>
    <w:pPr>
      <w:spacing w:before="100" w:beforeAutospacing="1" w:after="100" w:afterAutospacing="1"/>
    </w:pPr>
    <w:rPr>
      <w:rFonts w:ascii="宋体"/>
      <w:kern w:val="2"/>
    </w:rPr>
  </w:style>
  <w:style w:type="paragraph" w:styleId="18">
    <w:name w:val="annotation subject"/>
    <w:basedOn w:val="12"/>
    <w:next w:val="12"/>
    <w:link w:val="36"/>
    <w:qFormat/>
    <w:uiPriority w:val="0"/>
    <w:rPr>
      <w:b/>
      <w:bCs/>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annotation reference"/>
    <w:basedOn w:val="21"/>
    <w:qFormat/>
    <w:uiPriority w:val="0"/>
    <w:rPr>
      <w:sz w:val="21"/>
      <w:szCs w:val="21"/>
    </w:rPr>
  </w:style>
  <w:style w:type="paragraph" w:customStyle="1" w:styleId="24">
    <w:name w:val="正文正"/>
    <w:basedOn w:val="1"/>
    <w:qFormat/>
    <w:uiPriority w:val="0"/>
    <w:pPr>
      <w:spacing w:line="560" w:lineRule="exact"/>
      <w:ind w:firstLine="561"/>
    </w:pPr>
    <w:rPr>
      <w:rFonts w:ascii="Calibri" w:hAnsi="Calibri"/>
      <w:sz w:val="28"/>
      <w:szCs w:val="28"/>
    </w:rPr>
  </w:style>
  <w:style w:type="character" w:customStyle="1" w:styleId="25">
    <w:name w:val="标题 1 Char"/>
    <w:basedOn w:val="21"/>
    <w:link w:val="2"/>
    <w:qFormat/>
    <w:uiPriority w:val="9"/>
    <w:rPr>
      <w:b/>
      <w:kern w:val="44"/>
      <w:sz w:val="44"/>
    </w:rPr>
  </w:style>
  <w:style w:type="paragraph" w:customStyle="1" w:styleId="26">
    <w:name w:val="_Style 3"/>
    <w:basedOn w:val="1"/>
    <w:next w:val="16"/>
    <w:qFormat/>
    <w:uiPriority w:val="0"/>
    <w:pPr>
      <w:spacing w:line="480" w:lineRule="exact"/>
      <w:ind w:firstLine="560"/>
    </w:pPr>
    <w:rPr>
      <w:rFonts w:ascii="宋体" w:hAnsi="宋体"/>
      <w:color w:val="000000"/>
      <w:sz w:val="28"/>
    </w:rPr>
  </w:style>
  <w:style w:type="paragraph" w:styleId="27">
    <w:name w:val="No Spacing"/>
    <w:basedOn w:val="1"/>
    <w:qFormat/>
    <w:uiPriority w:val="1"/>
  </w:style>
  <w:style w:type="paragraph" w:customStyle="1" w:styleId="28">
    <w:name w:val="正文 New New New New New"/>
    <w:qFormat/>
    <w:uiPriority w:val="0"/>
    <w:pPr>
      <w:widowControl w:val="0"/>
      <w:jc w:val="both"/>
    </w:pPr>
    <w:rPr>
      <w:rFonts w:ascii="Calibri" w:hAnsi="Calibri" w:eastAsia="宋体" w:cs="Times New Roman"/>
      <w:kern w:val="2"/>
      <w:sz w:val="21"/>
      <w:szCs w:val="24"/>
      <w:lang w:val="en-US" w:eastAsia="zh-CN" w:bidi="ar-SA"/>
    </w:rPr>
  </w:style>
  <w:style w:type="character" w:customStyle="1" w:styleId="29">
    <w:name w:val="标题 2 Char"/>
    <w:basedOn w:val="21"/>
    <w:link w:val="3"/>
    <w:qFormat/>
    <w:uiPriority w:val="0"/>
    <w:rPr>
      <w:rFonts w:ascii="Arial" w:hAnsi="Arial" w:eastAsia="黑体"/>
      <w:b/>
      <w:bCs/>
      <w:kern w:val="2"/>
      <w:sz w:val="32"/>
      <w:szCs w:val="32"/>
    </w:rPr>
  </w:style>
  <w:style w:type="paragraph" w:styleId="30">
    <w:name w:val="List Paragraph"/>
    <w:basedOn w:val="1"/>
    <w:qFormat/>
    <w:uiPriority w:val="34"/>
    <w:pPr>
      <w:ind w:firstLine="420" w:firstLineChars="200"/>
    </w:pPr>
  </w:style>
  <w:style w:type="character" w:customStyle="1" w:styleId="31">
    <w:name w:val="标题 3 Char"/>
    <w:basedOn w:val="21"/>
    <w:link w:val="5"/>
    <w:qFormat/>
    <w:uiPriority w:val="0"/>
    <w:rPr>
      <w:b/>
      <w:bCs/>
      <w:sz w:val="32"/>
      <w:szCs w:val="32"/>
    </w:rPr>
  </w:style>
  <w:style w:type="character" w:customStyle="1" w:styleId="32">
    <w:name w:val="标题 4 Char"/>
    <w:basedOn w:val="21"/>
    <w:link w:val="6"/>
    <w:qFormat/>
    <w:uiPriority w:val="0"/>
    <w:rPr>
      <w:rFonts w:asciiTheme="majorHAnsi" w:hAnsiTheme="majorHAnsi" w:eastAsiaTheme="majorEastAsia" w:cstheme="majorBidi"/>
      <w:b/>
      <w:bCs/>
      <w:sz w:val="28"/>
      <w:szCs w:val="28"/>
    </w:rPr>
  </w:style>
  <w:style w:type="character" w:customStyle="1" w:styleId="33">
    <w:name w:val="标题 5 Char"/>
    <w:basedOn w:val="21"/>
    <w:link w:val="7"/>
    <w:qFormat/>
    <w:uiPriority w:val="0"/>
    <w:rPr>
      <w:b/>
      <w:bCs/>
      <w:sz w:val="28"/>
      <w:szCs w:val="28"/>
    </w:rPr>
  </w:style>
  <w:style w:type="character" w:customStyle="1" w:styleId="34">
    <w:name w:val="批注框文本 Char"/>
    <w:basedOn w:val="21"/>
    <w:link w:val="13"/>
    <w:qFormat/>
    <w:uiPriority w:val="0"/>
    <w:rPr>
      <w:sz w:val="18"/>
      <w:szCs w:val="18"/>
    </w:rPr>
  </w:style>
  <w:style w:type="character" w:customStyle="1" w:styleId="35">
    <w:name w:val="批注文字 Char"/>
    <w:basedOn w:val="21"/>
    <w:link w:val="12"/>
    <w:qFormat/>
    <w:uiPriority w:val="0"/>
  </w:style>
  <w:style w:type="character" w:customStyle="1" w:styleId="36">
    <w:name w:val="批注主题 Char"/>
    <w:basedOn w:val="35"/>
    <w:link w:val="18"/>
    <w:qFormat/>
    <w:uiPriority w:val="0"/>
    <w:rPr>
      <w:b/>
      <w:bCs/>
    </w:rPr>
  </w:style>
  <w:style w:type="character" w:customStyle="1" w:styleId="37">
    <w:name w:val="页脚 Char"/>
    <w:basedOn w:val="21"/>
    <w:link w:val="14"/>
    <w:qFormat/>
    <w:uiPriority w:val="99"/>
    <w:rPr>
      <w:sz w:val="18"/>
    </w:rPr>
  </w:style>
  <w:style w:type="paragraph" w:customStyle="1" w:styleId="38">
    <w:name w:val="(标书)正文 Char"/>
    <w:basedOn w:val="1"/>
    <w:qFormat/>
    <w:uiPriority w:val="0"/>
    <w:pPr>
      <w:ind w:firstLine="520" w:firstLineChars="200"/>
    </w:pPr>
    <w:rPr>
      <w:spacing w:val="10"/>
      <w:szCs w:val="24"/>
    </w:rPr>
  </w:style>
  <w:style w:type="character" w:customStyle="1" w:styleId="39">
    <w:name w:val="font11"/>
    <w:basedOn w:val="21"/>
    <w:qFormat/>
    <w:uiPriority w:val="0"/>
    <w:rPr>
      <w:rFonts w:hint="eastAsia" w:ascii="宋体" w:hAnsi="宋体" w:eastAsia="宋体" w:cs="宋体"/>
      <w:color w:val="000000"/>
      <w:sz w:val="20"/>
      <w:szCs w:val="20"/>
      <w:u w:val="none"/>
    </w:rPr>
  </w:style>
  <w:style w:type="character" w:customStyle="1" w:styleId="40">
    <w:name w:val="font01"/>
    <w:basedOn w:val="21"/>
    <w:qFormat/>
    <w:uiPriority w:val="0"/>
    <w:rPr>
      <w:rFonts w:hint="default" w:ascii="Arial" w:hAnsi="Arial" w:cs="Arial"/>
      <w:color w:val="000000"/>
      <w:sz w:val="20"/>
      <w:szCs w:val="20"/>
      <w:u w:val="none"/>
    </w:rPr>
  </w:style>
  <w:style w:type="character" w:customStyle="1" w:styleId="41">
    <w:name w:val="font21"/>
    <w:basedOn w:val="21"/>
    <w:qFormat/>
    <w:uiPriority w:val="0"/>
    <w:rPr>
      <w:rFonts w:ascii="Calibri" w:hAnsi="Calibri" w:cs="Calibri"/>
      <w:color w:val="000000"/>
      <w:sz w:val="21"/>
      <w:szCs w:val="21"/>
      <w:u w:val="none"/>
    </w:rPr>
  </w:style>
  <w:style w:type="character" w:customStyle="1" w:styleId="42">
    <w:name w:val="font31"/>
    <w:basedOn w:val="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8</Pages>
  <Words>3894</Words>
  <Characters>3942</Characters>
  <Lines>439</Lines>
  <Paragraphs>432</Paragraphs>
  <TotalTime>0</TotalTime>
  <ScaleCrop>false</ScaleCrop>
  <LinksUpToDate>false</LinksUpToDate>
  <CharactersWithSpaces>3944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2022-08-30T08:09:00Z</dcterms:created>
  <dc:creator>翁诚 丘雍</dc:creator>
  <cp:lastModifiedBy>何超文</cp:lastModifiedBy>
  <cp:lastPrinted>2022-09-05T03:10:00Z</cp:lastPrinted>
  <dcterms:modified xsi:type="dcterms:W3CDTF">2025-01-06T06:59:40Z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05A7804B0F85474DBEDE3837612A7E26</vt:lpwstr>
  </property>
  <property fmtid="{D5CDD505-2E9C-101B-9397-08002B2CF9AE}" pid="4" name="GSEDS_TWMT">
    <vt:lpwstr>d46a6755_b77b54e0_78c901088382cc3e1e6c05f559b147d72117e95f61ade2486aa5fa4184dbb435</vt:lpwstr>
  </property>
  <property fmtid="{D5CDD505-2E9C-101B-9397-08002B2CF9AE}" pid="5" name="GSEDS_HWMT_d46a6755">
    <vt:lpwstr>f245f3f7_mFV3wD84Kyk2NspOkXv8q4e0BrA=_8QYrr0ZNXF8pbYQi+iyuw8Fh+oRtC/Qry25sLscjMdTE62gepjdwHE4ISkri3Vwdu6hRvOwL54eTxQ==_20eb66d2</vt:lpwstr>
  </property>
  <property fmtid="{D5CDD505-2E9C-101B-9397-08002B2CF9AE}" pid="6" name="KSOTemplateDocerSaveRecord">
    <vt:lpwstr>eyJoZGlkIjoiNzc5OTI0Zjg1MTA5M2I3Mzc2ZWJmZWFmYWI3MDcxZjciLCJ1c2VySWQiOiI0NDIwODY0NjUifQ==</vt:lpwstr>
  </property>
</Properties>
</file>