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0D69B">
      <w:pPr>
        <w:ind w:firstLine="281" w:firstLineChars="100"/>
        <w:jc w:val="center"/>
        <w:rPr>
          <w:rFonts w:hint="eastAsia"/>
          <w:b/>
          <w:sz w:val="28"/>
          <w:szCs w:val="28"/>
        </w:rPr>
      </w:pPr>
      <w:r>
        <w:rPr>
          <w:rFonts w:hint="eastAsia"/>
          <w:b/>
          <w:sz w:val="28"/>
          <w:szCs w:val="28"/>
        </w:rPr>
        <w:t>广州医科大学附属第三医院</w:t>
      </w:r>
    </w:p>
    <w:p w14:paraId="6C34C5C3">
      <w:pPr>
        <w:ind w:firstLine="281" w:firstLineChars="100"/>
        <w:jc w:val="center"/>
        <w:rPr>
          <w:b/>
          <w:sz w:val="28"/>
          <w:szCs w:val="28"/>
        </w:rPr>
      </w:pPr>
      <w:r>
        <w:rPr>
          <w:b/>
          <w:sz w:val="28"/>
          <w:szCs w:val="28"/>
        </w:rPr>
        <w:t>2024</w:t>
      </w:r>
      <w:r>
        <w:rPr>
          <w:rFonts w:hint="eastAsia"/>
          <w:b/>
          <w:sz w:val="28"/>
          <w:szCs w:val="28"/>
          <w:lang w:val="en-US" w:eastAsia="zh-CN"/>
        </w:rPr>
        <w:t>-2025</w:t>
      </w:r>
      <w:r>
        <w:rPr>
          <w:rFonts w:hint="eastAsia"/>
          <w:b/>
          <w:sz w:val="28"/>
          <w:szCs w:val="28"/>
        </w:rPr>
        <w:t>年网络安全保障服务</w:t>
      </w:r>
      <w:r>
        <w:rPr>
          <w:rFonts w:hint="eastAsia"/>
          <w:b/>
          <w:sz w:val="28"/>
          <w:szCs w:val="28"/>
          <w:lang w:val="en-US" w:eastAsia="zh-CN"/>
        </w:rPr>
        <w:t>方案征集</w:t>
      </w:r>
    </w:p>
    <w:p w14:paraId="3F93C2D9">
      <w:pPr>
        <w:pStyle w:val="2"/>
      </w:pPr>
    </w:p>
    <w:p w14:paraId="22A6E629">
      <w:pPr>
        <w:pStyle w:val="27"/>
        <w:numPr>
          <w:ilvl w:val="0"/>
          <w:numId w:val="1"/>
        </w:numPr>
        <w:spacing w:line="240" w:lineRule="auto"/>
        <w:ind w:left="425" w:hanging="425"/>
        <w:jc w:val="both"/>
        <w:rPr>
          <w:rFonts w:hint="eastAsia" w:hAnsi="宋体" w:cs="宋体"/>
          <w:b/>
          <w:bCs/>
          <w:sz w:val="21"/>
          <w:szCs w:val="21"/>
          <w:lang w:val="en-US"/>
        </w:rPr>
      </w:pPr>
      <w:bookmarkStart w:id="0" w:name="_Toc16898"/>
      <w:bookmarkStart w:id="1" w:name="_Toc75033433"/>
      <w:r>
        <w:rPr>
          <w:rFonts w:hint="eastAsia" w:hAnsi="宋体" w:cs="宋体"/>
          <w:b/>
          <w:bCs/>
          <w:sz w:val="21"/>
          <w:szCs w:val="21"/>
          <w:lang w:val="en-US"/>
        </w:rPr>
        <w:t>项目概况</w:t>
      </w:r>
      <w:bookmarkEnd w:id="0"/>
      <w:bookmarkEnd w:id="1"/>
    </w:p>
    <w:p w14:paraId="77D878E0">
      <w:pPr>
        <w:pStyle w:val="17"/>
        <w:ind w:firstLine="420" w:firstLineChars="200"/>
        <w:rPr>
          <w:rFonts w:hint="eastAsia" w:ascii="宋体" w:hAnsi="宋体" w:cs="宋体"/>
        </w:rPr>
      </w:pPr>
      <w:r>
        <w:rPr>
          <w:rFonts w:hint="eastAsia" w:ascii="宋体" w:hAnsi="宋体" w:cs="宋体"/>
          <w:color w:val="000000"/>
        </w:rPr>
        <w:t>根据《中华人民共和国网络安全法》、《中华人民共和国数据安全法》、《中华人民共和国个人信息保护法》、《关键信息基础设施安全保护条例》（中华人民共和国国务院令第745号）对信息安全等级保护以及数据安全的有关要求，</w:t>
      </w:r>
      <w:r>
        <w:rPr>
          <w:rFonts w:hint="eastAsia" w:ascii="宋体" w:hAnsi="宋体" w:cs="宋体"/>
        </w:rPr>
        <w:t>广州医科大学附属第三医院</w:t>
      </w:r>
      <w:r>
        <w:rPr>
          <w:rFonts w:hint="eastAsia" w:ascii="宋体" w:hAnsi="宋体" w:cs="宋体"/>
          <w:color w:val="000000"/>
        </w:rPr>
        <w:t>开始着手进行医院信息系统的等级保护和数据安全相关工作。</w:t>
      </w:r>
      <w:r>
        <w:rPr>
          <w:rFonts w:hint="eastAsia" w:ascii="宋体" w:hAnsi="宋体" w:cs="宋体"/>
        </w:rPr>
        <w:t>当前已按照等保2.0三级要求采购了多台网络安全设备，建立了基础安全保障框架和安全管理体系。</w:t>
      </w:r>
    </w:p>
    <w:p w14:paraId="46A21C3D">
      <w:pPr>
        <w:pStyle w:val="17"/>
        <w:ind w:firstLine="420" w:firstLineChars="200"/>
        <w:rPr>
          <w:rFonts w:hint="eastAsia" w:ascii="宋体" w:hAnsi="宋体" w:cs="宋体"/>
        </w:rPr>
      </w:pPr>
      <w:r>
        <w:rPr>
          <w:rFonts w:hint="eastAsia" w:ascii="宋体" w:hAnsi="宋体" w:cs="宋体"/>
        </w:rPr>
        <w:t>本次安全服务采购项目的总体目标是针对广州医科大学附属第三医院网络落实安全等级保护测评、等保整改，建立网络安全运维服务体系、完善医院网络安全制度、数据</w:t>
      </w:r>
      <w:bookmarkStart w:id="2" w:name="_GoBack"/>
      <w:bookmarkEnd w:id="2"/>
      <w:r>
        <w:rPr>
          <w:rFonts w:hint="eastAsia" w:ascii="宋体" w:hAnsi="宋体" w:cs="宋体"/>
        </w:rPr>
        <w:t>安全制度，常态化监测与维护广州医科大学附属第三医院信息化系统和业务平台，以确保信息化系统和业务平台在有效工作时间的稳定运行，保障各业务系统数据的可用性、保密性和完整性，确保日常办公信息平台的稳定运行。</w:t>
      </w:r>
    </w:p>
    <w:p w14:paraId="54223B88">
      <w:pPr>
        <w:pStyle w:val="17"/>
        <w:ind w:firstLine="420" w:firstLineChars="200"/>
        <w:rPr>
          <w:rFonts w:hint="eastAsia" w:ascii="宋体" w:hAnsi="宋体" w:cs="宋体"/>
        </w:rPr>
      </w:pPr>
    </w:p>
    <w:p w14:paraId="4052B569">
      <w:pPr>
        <w:pStyle w:val="27"/>
        <w:numPr>
          <w:ilvl w:val="0"/>
          <w:numId w:val="1"/>
        </w:numPr>
        <w:spacing w:line="240" w:lineRule="auto"/>
        <w:ind w:left="425" w:hanging="425"/>
        <w:jc w:val="both"/>
        <w:rPr>
          <w:rFonts w:hint="eastAsia" w:hAnsi="宋体" w:cs="宋体"/>
          <w:b/>
          <w:bCs/>
          <w:sz w:val="21"/>
          <w:szCs w:val="21"/>
          <w:lang w:val="en-US"/>
        </w:rPr>
      </w:pPr>
      <w:r>
        <w:rPr>
          <w:rFonts w:hAnsi="宋体" w:cs="宋体"/>
          <w:b/>
          <w:bCs/>
          <w:sz w:val="21"/>
          <w:szCs w:val="21"/>
          <w:lang w:val="en-US"/>
        </w:rPr>
        <w:t xml:space="preserve"> </w:t>
      </w:r>
      <w:r>
        <w:rPr>
          <w:rFonts w:hint="eastAsia" w:hAnsi="宋体" w:cs="宋体"/>
          <w:b/>
          <w:bCs/>
          <w:sz w:val="21"/>
          <w:szCs w:val="21"/>
          <w:lang w:val="en-US"/>
        </w:rPr>
        <w:t>整体服务内容</w:t>
      </w:r>
    </w:p>
    <w:tbl>
      <w:tblPr>
        <w:tblStyle w:val="9"/>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432"/>
        <w:gridCol w:w="1284"/>
        <w:gridCol w:w="5216"/>
      </w:tblGrid>
      <w:tr w14:paraId="7840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4006514A">
            <w:r>
              <w:rPr>
                <w:rFonts w:hint="eastAsia"/>
              </w:rPr>
              <w:t>序号</w:t>
            </w:r>
          </w:p>
        </w:tc>
        <w:tc>
          <w:tcPr>
            <w:tcW w:w="1432" w:type="dxa"/>
            <w:shd w:val="clear" w:color="auto" w:fill="FFFFFF"/>
            <w:tcMar>
              <w:top w:w="0" w:type="dxa"/>
              <w:left w:w="105" w:type="dxa"/>
              <w:bottom w:w="0" w:type="dxa"/>
              <w:right w:w="105" w:type="dxa"/>
            </w:tcMar>
            <w:vAlign w:val="center"/>
          </w:tcPr>
          <w:p w14:paraId="4D695D0C">
            <w:r>
              <w:rPr>
                <w:rFonts w:hint="eastAsia"/>
              </w:rPr>
              <w:t>服务分项</w:t>
            </w:r>
          </w:p>
        </w:tc>
        <w:tc>
          <w:tcPr>
            <w:tcW w:w="1284" w:type="dxa"/>
            <w:shd w:val="clear" w:color="auto" w:fill="FFFFFF"/>
            <w:tcMar>
              <w:top w:w="0" w:type="dxa"/>
              <w:left w:w="105" w:type="dxa"/>
              <w:bottom w:w="0" w:type="dxa"/>
              <w:right w:w="105" w:type="dxa"/>
            </w:tcMar>
            <w:vAlign w:val="center"/>
          </w:tcPr>
          <w:p w14:paraId="5E23750B">
            <w:r>
              <w:rPr>
                <w:rFonts w:hint="eastAsia"/>
              </w:rPr>
              <w:t>数量／单位</w:t>
            </w:r>
          </w:p>
        </w:tc>
        <w:tc>
          <w:tcPr>
            <w:tcW w:w="5216" w:type="dxa"/>
            <w:shd w:val="clear" w:color="auto" w:fill="FFFFFF"/>
            <w:tcMar>
              <w:top w:w="0" w:type="dxa"/>
              <w:left w:w="105" w:type="dxa"/>
              <w:bottom w:w="0" w:type="dxa"/>
              <w:right w:w="105" w:type="dxa"/>
            </w:tcMar>
            <w:vAlign w:val="center"/>
          </w:tcPr>
          <w:p w14:paraId="114DFF1D">
            <w:r>
              <w:rPr>
                <w:rFonts w:hint="eastAsia"/>
              </w:rPr>
              <w:t>说明</w:t>
            </w:r>
          </w:p>
        </w:tc>
      </w:tr>
      <w:tr w14:paraId="2C08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6807AF69">
            <w:r>
              <w:t>1</w:t>
            </w:r>
          </w:p>
        </w:tc>
        <w:tc>
          <w:tcPr>
            <w:tcW w:w="1432" w:type="dxa"/>
            <w:shd w:val="clear" w:color="auto" w:fill="FFFFFF"/>
            <w:tcMar>
              <w:top w:w="0" w:type="dxa"/>
              <w:left w:w="105" w:type="dxa"/>
              <w:bottom w:w="0" w:type="dxa"/>
              <w:right w:w="105" w:type="dxa"/>
            </w:tcMar>
            <w:vAlign w:val="center"/>
          </w:tcPr>
          <w:p w14:paraId="09E13B45">
            <w:r>
              <w:rPr>
                <w:rFonts w:hint="eastAsia"/>
              </w:rPr>
              <w:t>两院区日常网络安全服务</w:t>
            </w:r>
          </w:p>
        </w:tc>
        <w:tc>
          <w:tcPr>
            <w:tcW w:w="1284" w:type="dxa"/>
            <w:shd w:val="clear" w:color="auto" w:fill="FFFFFF"/>
            <w:tcMar>
              <w:top w:w="0" w:type="dxa"/>
              <w:left w:w="105" w:type="dxa"/>
              <w:bottom w:w="0" w:type="dxa"/>
              <w:right w:w="105" w:type="dxa"/>
            </w:tcMar>
            <w:vAlign w:val="center"/>
          </w:tcPr>
          <w:p w14:paraId="20AB7DAA">
            <w:r>
              <w:rPr>
                <w:rFonts w:hint="eastAsia"/>
              </w:rPr>
              <w:t>12个月</w:t>
            </w:r>
          </w:p>
        </w:tc>
        <w:tc>
          <w:tcPr>
            <w:tcW w:w="5216" w:type="dxa"/>
            <w:shd w:val="clear" w:color="auto" w:fill="FFFFFF"/>
            <w:tcMar>
              <w:top w:w="0" w:type="dxa"/>
              <w:left w:w="105" w:type="dxa"/>
              <w:bottom w:w="0" w:type="dxa"/>
              <w:right w:w="105" w:type="dxa"/>
            </w:tcMar>
            <w:vAlign w:val="center"/>
          </w:tcPr>
          <w:p w14:paraId="6E00B40D">
            <w:r>
              <w:rPr>
                <w:rFonts w:hint="eastAsia"/>
              </w:rPr>
              <w:t>包括但不限于资产梳理、漏洞检测、配置核查、、渗透测试、WEB安全监测、病毒监测、安全评估、安全加固、网络安全制度建设、重保期间24小时现场值守服务、安全应急响应、安全应急预案、安全培训等。</w:t>
            </w:r>
          </w:p>
        </w:tc>
      </w:tr>
      <w:tr w14:paraId="1B61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57716E77">
            <w:r>
              <w:rPr>
                <w:rFonts w:hint="eastAsia"/>
              </w:rPr>
              <w:t>2</w:t>
            </w:r>
          </w:p>
        </w:tc>
        <w:tc>
          <w:tcPr>
            <w:tcW w:w="1432" w:type="dxa"/>
            <w:shd w:val="clear" w:color="auto" w:fill="FFFFFF"/>
            <w:tcMar>
              <w:top w:w="0" w:type="dxa"/>
              <w:left w:w="105" w:type="dxa"/>
              <w:bottom w:w="0" w:type="dxa"/>
              <w:right w:w="105" w:type="dxa"/>
            </w:tcMar>
            <w:vAlign w:val="center"/>
          </w:tcPr>
          <w:p w14:paraId="35A7BB79">
            <w:r>
              <w:rPr>
                <w:rFonts w:hint="eastAsia"/>
              </w:rPr>
              <w:t>两院区数据安全服务</w:t>
            </w:r>
          </w:p>
        </w:tc>
        <w:tc>
          <w:tcPr>
            <w:tcW w:w="1284" w:type="dxa"/>
            <w:shd w:val="clear" w:color="auto" w:fill="FFFFFF"/>
            <w:tcMar>
              <w:top w:w="0" w:type="dxa"/>
              <w:left w:w="105" w:type="dxa"/>
              <w:bottom w:w="0" w:type="dxa"/>
              <w:right w:w="105" w:type="dxa"/>
            </w:tcMar>
            <w:vAlign w:val="center"/>
          </w:tcPr>
          <w:p w14:paraId="7ECFEE8A">
            <w:r>
              <w:rPr>
                <w:rFonts w:hint="eastAsia"/>
              </w:rPr>
              <w:t>12个月</w:t>
            </w:r>
          </w:p>
        </w:tc>
        <w:tc>
          <w:tcPr>
            <w:tcW w:w="5216" w:type="dxa"/>
            <w:shd w:val="clear" w:color="auto" w:fill="FFFFFF"/>
            <w:tcMar>
              <w:top w:w="0" w:type="dxa"/>
              <w:left w:w="105" w:type="dxa"/>
              <w:bottom w:w="0" w:type="dxa"/>
              <w:right w:w="105" w:type="dxa"/>
            </w:tcMar>
            <w:vAlign w:val="center"/>
          </w:tcPr>
          <w:p w14:paraId="09FF1F52">
            <w:r>
              <w:rPr>
                <w:rFonts w:hint="eastAsia"/>
              </w:rPr>
              <w:t>基于法律法规、国家部门规章、行业监管要求，完善数据安全管理体系建设，建立我院数据安全管理体系，包括数据全生命周期安全管理制度。</w:t>
            </w:r>
          </w:p>
        </w:tc>
      </w:tr>
      <w:tr w14:paraId="13CC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7AB7DBB8">
            <w:r>
              <w:rPr>
                <w:rFonts w:hint="eastAsia"/>
              </w:rPr>
              <w:t>3</w:t>
            </w:r>
          </w:p>
        </w:tc>
        <w:tc>
          <w:tcPr>
            <w:tcW w:w="1432" w:type="dxa"/>
            <w:shd w:val="clear" w:color="auto" w:fill="FFFFFF"/>
            <w:tcMar>
              <w:top w:w="0" w:type="dxa"/>
              <w:left w:w="105" w:type="dxa"/>
              <w:bottom w:w="0" w:type="dxa"/>
              <w:right w:w="105" w:type="dxa"/>
            </w:tcMar>
            <w:vAlign w:val="center"/>
          </w:tcPr>
          <w:p w14:paraId="7A7523B1">
            <w:r>
              <w:rPr>
                <w:rFonts w:hint="eastAsia"/>
              </w:rPr>
              <w:t>黄埔院区机房人员驻场服务</w:t>
            </w:r>
          </w:p>
        </w:tc>
        <w:tc>
          <w:tcPr>
            <w:tcW w:w="1284" w:type="dxa"/>
            <w:shd w:val="clear" w:color="auto" w:fill="FFFFFF"/>
            <w:tcMar>
              <w:top w:w="0" w:type="dxa"/>
              <w:left w:w="105" w:type="dxa"/>
              <w:bottom w:w="0" w:type="dxa"/>
              <w:right w:w="105" w:type="dxa"/>
            </w:tcMar>
            <w:vAlign w:val="center"/>
          </w:tcPr>
          <w:p w14:paraId="7AE73542">
            <w:r>
              <w:rPr>
                <w:rFonts w:hint="eastAsia"/>
              </w:rPr>
              <w:t>12个月</w:t>
            </w:r>
          </w:p>
        </w:tc>
        <w:tc>
          <w:tcPr>
            <w:tcW w:w="5216" w:type="dxa"/>
            <w:shd w:val="clear" w:color="auto" w:fill="FFFFFF"/>
            <w:tcMar>
              <w:top w:w="0" w:type="dxa"/>
              <w:left w:w="105" w:type="dxa"/>
              <w:bottom w:w="0" w:type="dxa"/>
              <w:right w:w="105" w:type="dxa"/>
            </w:tcMar>
            <w:vAlign w:val="center"/>
          </w:tcPr>
          <w:p w14:paraId="12F31DD7">
            <w:r>
              <w:rPr>
                <w:rFonts w:hint="eastAsia"/>
              </w:rPr>
              <w:t>提供不少于1名安全人员驻场服务；并配备至少 3名备勤安全工程师，当出现紧急情况时，在 2 小时内到现场支撑。</w:t>
            </w:r>
          </w:p>
        </w:tc>
      </w:tr>
      <w:tr w14:paraId="2EA2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155533C1">
            <w:pPr>
              <w:rPr>
                <w:rFonts w:hint="eastAsia"/>
              </w:rPr>
            </w:pPr>
            <w:r>
              <w:rPr>
                <w:rFonts w:hint="eastAsia"/>
              </w:rPr>
              <w:t>4</w:t>
            </w:r>
          </w:p>
        </w:tc>
        <w:tc>
          <w:tcPr>
            <w:tcW w:w="1432" w:type="dxa"/>
            <w:shd w:val="clear" w:color="auto" w:fill="FFFFFF"/>
            <w:tcMar>
              <w:top w:w="0" w:type="dxa"/>
              <w:left w:w="105" w:type="dxa"/>
              <w:bottom w:w="0" w:type="dxa"/>
              <w:right w:w="105" w:type="dxa"/>
            </w:tcMar>
            <w:vAlign w:val="center"/>
          </w:tcPr>
          <w:p w14:paraId="00AF216C">
            <w:pPr>
              <w:rPr>
                <w:rFonts w:hint="eastAsia"/>
              </w:rPr>
            </w:pPr>
            <w:r>
              <w:rPr>
                <w:rFonts w:hint="eastAsia"/>
              </w:rPr>
              <w:t>攻防演练防守服务</w:t>
            </w:r>
          </w:p>
        </w:tc>
        <w:tc>
          <w:tcPr>
            <w:tcW w:w="1284" w:type="dxa"/>
            <w:shd w:val="clear" w:color="auto" w:fill="FFFFFF"/>
            <w:tcMar>
              <w:top w:w="0" w:type="dxa"/>
              <w:left w:w="105" w:type="dxa"/>
              <w:bottom w:w="0" w:type="dxa"/>
              <w:right w:w="105" w:type="dxa"/>
            </w:tcMar>
            <w:vAlign w:val="center"/>
          </w:tcPr>
          <w:p w14:paraId="59A1E973">
            <w:pPr>
              <w:rPr>
                <w:rFonts w:hint="eastAsia"/>
              </w:rPr>
            </w:pPr>
            <w:r>
              <w:rPr>
                <w:rFonts w:hint="eastAsia"/>
              </w:rPr>
              <w:t>20个工作日</w:t>
            </w:r>
          </w:p>
        </w:tc>
        <w:tc>
          <w:tcPr>
            <w:tcW w:w="5216" w:type="dxa"/>
            <w:shd w:val="clear" w:color="auto" w:fill="FFFFFF"/>
            <w:tcMar>
              <w:top w:w="0" w:type="dxa"/>
              <w:left w:w="105" w:type="dxa"/>
              <w:bottom w:w="0" w:type="dxa"/>
              <w:right w:w="105" w:type="dxa"/>
            </w:tcMar>
            <w:vAlign w:val="center"/>
          </w:tcPr>
          <w:p w14:paraId="3385C9FB">
            <w:pPr>
              <w:rPr>
                <w:rFonts w:hint="eastAsia"/>
              </w:rPr>
            </w:pPr>
            <w:r>
              <w:rPr>
                <w:rFonts w:hint="eastAsia"/>
              </w:rPr>
              <w:t>攻防演练期间安排专人1人现场24小时值守、同时配合2人远程24小时值守，运维值守人员通过人工分析或检查的方式，定期对网络设备、安全设备进行巡检，对系统运行过程中是否发生安全事件进行检查，并协助进行安全事件定位与原因分析。</w:t>
            </w:r>
          </w:p>
        </w:tc>
      </w:tr>
      <w:tr w14:paraId="26D2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25900A94">
            <w:r>
              <w:rPr>
                <w:rFonts w:hint="eastAsia"/>
              </w:rPr>
              <w:t>5</w:t>
            </w:r>
          </w:p>
        </w:tc>
        <w:tc>
          <w:tcPr>
            <w:tcW w:w="1432" w:type="dxa"/>
            <w:shd w:val="clear" w:color="auto" w:fill="FFFFFF"/>
            <w:tcMar>
              <w:top w:w="0" w:type="dxa"/>
              <w:left w:w="105" w:type="dxa"/>
              <w:bottom w:w="0" w:type="dxa"/>
              <w:right w:w="105" w:type="dxa"/>
            </w:tcMar>
            <w:vAlign w:val="center"/>
          </w:tcPr>
          <w:p w14:paraId="21F29B85">
            <w:r>
              <w:rPr>
                <w:rFonts w:hint="eastAsia"/>
              </w:rPr>
              <w:t>网络安全等级保护测评服务（应用系统）</w:t>
            </w:r>
          </w:p>
        </w:tc>
        <w:tc>
          <w:tcPr>
            <w:tcW w:w="1284" w:type="dxa"/>
            <w:shd w:val="clear" w:color="auto" w:fill="FFFFFF"/>
            <w:tcMar>
              <w:top w:w="0" w:type="dxa"/>
              <w:left w:w="105" w:type="dxa"/>
              <w:bottom w:w="0" w:type="dxa"/>
              <w:right w:w="105" w:type="dxa"/>
            </w:tcMar>
            <w:vAlign w:val="center"/>
          </w:tcPr>
          <w:p w14:paraId="7345094A">
            <w:r>
              <w:rPr>
                <w:rFonts w:hint="eastAsia"/>
              </w:rPr>
              <w:t>6个等级保护三级系统的网络安全等级保护测评</w:t>
            </w:r>
          </w:p>
        </w:tc>
        <w:tc>
          <w:tcPr>
            <w:tcW w:w="5216" w:type="dxa"/>
            <w:shd w:val="clear" w:color="auto" w:fill="FFFFFF"/>
            <w:tcMar>
              <w:top w:w="0" w:type="dxa"/>
              <w:left w:w="105" w:type="dxa"/>
              <w:bottom w:w="0" w:type="dxa"/>
              <w:right w:w="105" w:type="dxa"/>
            </w:tcMar>
            <w:vAlign w:val="center"/>
          </w:tcPr>
          <w:p w14:paraId="3A826321">
            <w:r>
              <w:rPr>
                <w:rFonts w:hint="eastAsia"/>
              </w:rPr>
              <w:t>测评内容主要包括：</w:t>
            </w:r>
          </w:p>
          <w:p w14:paraId="3721BD95">
            <w:r>
              <w:t>1</w:t>
            </w:r>
            <w:r>
              <w:rPr>
                <w:rFonts w:hint="eastAsia"/>
              </w:rPr>
              <w:t>）网络安全等级保护技术方案制定；</w:t>
            </w:r>
          </w:p>
          <w:p w14:paraId="2472D9BE">
            <w:r>
              <w:t>2</w:t>
            </w:r>
            <w:r>
              <w:rPr>
                <w:rFonts w:hint="eastAsia"/>
              </w:rPr>
              <w:t>）网络安全等级保护差距评估实施；</w:t>
            </w:r>
          </w:p>
          <w:p w14:paraId="651814FB">
            <w:r>
              <w:t>3</w:t>
            </w:r>
            <w:r>
              <w:rPr>
                <w:rFonts w:hint="eastAsia"/>
              </w:rPr>
              <w:t>）网络安全等级测评问题清单和整改建议内容撰写；</w:t>
            </w:r>
          </w:p>
          <w:p w14:paraId="67E9BB8C">
            <w:r>
              <w:t>4</w:t>
            </w:r>
            <w:r>
              <w:rPr>
                <w:rFonts w:hint="eastAsia"/>
              </w:rPr>
              <w:t>）网络安全等级保护整改咨询服务；</w:t>
            </w:r>
          </w:p>
          <w:p w14:paraId="0CCCC5F3">
            <w:r>
              <w:t>5</w:t>
            </w:r>
            <w:r>
              <w:rPr>
                <w:rFonts w:hint="eastAsia"/>
              </w:rPr>
              <w:t>）网络安全等级保护等级测评报告撰写</w:t>
            </w:r>
          </w:p>
        </w:tc>
      </w:tr>
      <w:tr w14:paraId="63CD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7CE2C422">
            <w:r>
              <w:rPr>
                <w:rFonts w:hint="eastAsia"/>
              </w:rPr>
              <w:t>6</w:t>
            </w:r>
          </w:p>
        </w:tc>
        <w:tc>
          <w:tcPr>
            <w:tcW w:w="1432" w:type="dxa"/>
            <w:shd w:val="clear" w:color="auto" w:fill="FFFFFF"/>
            <w:tcMar>
              <w:top w:w="0" w:type="dxa"/>
              <w:left w:w="105" w:type="dxa"/>
              <w:bottom w:w="0" w:type="dxa"/>
              <w:right w:w="105" w:type="dxa"/>
            </w:tcMar>
            <w:vAlign w:val="center"/>
          </w:tcPr>
          <w:p w14:paraId="228B4C2E">
            <w:r>
              <w:rPr>
                <w:rFonts w:hint="eastAsia"/>
              </w:rPr>
              <w:t>网络安全等级整改服务</w:t>
            </w:r>
          </w:p>
        </w:tc>
        <w:tc>
          <w:tcPr>
            <w:tcW w:w="1284" w:type="dxa"/>
            <w:shd w:val="clear" w:color="auto" w:fill="FFFFFF"/>
            <w:tcMar>
              <w:top w:w="0" w:type="dxa"/>
              <w:left w:w="105" w:type="dxa"/>
              <w:bottom w:w="0" w:type="dxa"/>
              <w:right w:w="105" w:type="dxa"/>
            </w:tcMar>
            <w:vAlign w:val="center"/>
          </w:tcPr>
          <w:p w14:paraId="54F6560E">
            <w:r>
              <w:rPr>
                <w:rFonts w:hint="eastAsia"/>
              </w:rPr>
              <w:t>12个月</w:t>
            </w:r>
          </w:p>
        </w:tc>
        <w:tc>
          <w:tcPr>
            <w:tcW w:w="5216" w:type="dxa"/>
            <w:shd w:val="clear" w:color="auto" w:fill="FFFFFF"/>
            <w:tcMar>
              <w:top w:w="0" w:type="dxa"/>
              <w:left w:w="105" w:type="dxa"/>
              <w:bottom w:w="0" w:type="dxa"/>
              <w:right w:w="105" w:type="dxa"/>
            </w:tcMar>
            <w:vAlign w:val="center"/>
          </w:tcPr>
          <w:p w14:paraId="09502CA8">
            <w:r>
              <w:rPr>
                <w:rFonts w:hint="eastAsia"/>
              </w:rPr>
              <w:t>根据测评机构提出的问题单，协助甲方完成技术、管理问题的整改，帮助甲方最终取得符合公安机关要求的信息系统安全等级保护测评报告。</w:t>
            </w:r>
          </w:p>
        </w:tc>
      </w:tr>
      <w:tr w14:paraId="14EC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6E0F5C30">
            <w:r>
              <w:rPr>
                <w:rFonts w:hint="eastAsia"/>
              </w:rPr>
              <w:t>7</w:t>
            </w:r>
          </w:p>
        </w:tc>
        <w:tc>
          <w:tcPr>
            <w:tcW w:w="1432" w:type="dxa"/>
            <w:shd w:val="clear" w:color="auto" w:fill="FFFFFF"/>
            <w:tcMar>
              <w:top w:w="0" w:type="dxa"/>
              <w:left w:w="105" w:type="dxa"/>
              <w:bottom w:w="0" w:type="dxa"/>
              <w:right w:w="105" w:type="dxa"/>
            </w:tcMar>
            <w:vAlign w:val="center"/>
          </w:tcPr>
          <w:p w14:paraId="5E507CAB">
            <w:r>
              <w:rPr>
                <w:rFonts w:hint="eastAsia"/>
              </w:rPr>
              <w:t>安全设备维保、扩容服务</w:t>
            </w:r>
          </w:p>
        </w:tc>
        <w:tc>
          <w:tcPr>
            <w:tcW w:w="1284" w:type="dxa"/>
            <w:shd w:val="clear" w:color="auto" w:fill="FFFFFF"/>
            <w:tcMar>
              <w:top w:w="0" w:type="dxa"/>
              <w:left w:w="105" w:type="dxa"/>
              <w:bottom w:w="0" w:type="dxa"/>
              <w:right w:w="105" w:type="dxa"/>
            </w:tcMar>
            <w:vAlign w:val="center"/>
          </w:tcPr>
          <w:p w14:paraId="50CBA73A">
            <w:r>
              <w:rPr>
                <w:rFonts w:hint="eastAsia"/>
              </w:rPr>
              <w:t>12个月</w:t>
            </w:r>
          </w:p>
        </w:tc>
        <w:tc>
          <w:tcPr>
            <w:tcW w:w="5216" w:type="dxa"/>
            <w:shd w:val="clear" w:color="auto" w:fill="FFFFFF"/>
            <w:tcMar>
              <w:top w:w="0" w:type="dxa"/>
              <w:left w:w="105" w:type="dxa"/>
              <w:bottom w:w="0" w:type="dxa"/>
              <w:right w:w="105" w:type="dxa"/>
            </w:tcMar>
            <w:vAlign w:val="center"/>
          </w:tcPr>
          <w:p w14:paraId="2FDB469F">
            <w:r>
              <w:rPr>
                <w:rFonts w:hint="eastAsia"/>
              </w:rPr>
              <w:t>黄埔院区堡垒机扩容增加200个点授权。</w:t>
            </w:r>
          </w:p>
          <w:p w14:paraId="0A31007B">
            <w:r>
              <w:rPr>
                <w:rFonts w:hint="eastAsia"/>
              </w:rPr>
              <w:t>荔湾院区外网防火墙特征库升级。</w:t>
            </w:r>
          </w:p>
        </w:tc>
      </w:tr>
      <w:tr w14:paraId="47AB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42182E5E">
            <w:r>
              <w:rPr>
                <w:rFonts w:hint="eastAsia"/>
              </w:rPr>
              <w:t>8</w:t>
            </w:r>
          </w:p>
        </w:tc>
        <w:tc>
          <w:tcPr>
            <w:tcW w:w="1432" w:type="dxa"/>
            <w:shd w:val="clear" w:color="auto" w:fill="FFFFFF"/>
            <w:tcMar>
              <w:top w:w="0" w:type="dxa"/>
              <w:left w:w="105" w:type="dxa"/>
              <w:bottom w:w="0" w:type="dxa"/>
              <w:right w:w="105" w:type="dxa"/>
            </w:tcMar>
            <w:vAlign w:val="center"/>
          </w:tcPr>
          <w:p w14:paraId="34B7AC35">
            <w:r>
              <w:rPr>
                <w:rFonts w:hint="eastAsia"/>
              </w:rPr>
              <w:t>安全检查工具租赁服务</w:t>
            </w:r>
          </w:p>
        </w:tc>
        <w:tc>
          <w:tcPr>
            <w:tcW w:w="1284" w:type="dxa"/>
            <w:shd w:val="clear" w:color="auto" w:fill="FFFFFF"/>
            <w:tcMar>
              <w:top w:w="0" w:type="dxa"/>
              <w:left w:w="105" w:type="dxa"/>
              <w:bottom w:w="0" w:type="dxa"/>
              <w:right w:w="105" w:type="dxa"/>
            </w:tcMar>
            <w:vAlign w:val="center"/>
          </w:tcPr>
          <w:p w14:paraId="055641DA">
            <w:r>
              <w:rPr>
                <w:rFonts w:hint="eastAsia"/>
              </w:rPr>
              <w:t>12个月</w:t>
            </w:r>
          </w:p>
        </w:tc>
        <w:tc>
          <w:tcPr>
            <w:tcW w:w="5216" w:type="dxa"/>
            <w:shd w:val="clear" w:color="auto" w:fill="FFFFFF"/>
            <w:tcMar>
              <w:top w:w="0" w:type="dxa"/>
              <w:left w:w="105" w:type="dxa"/>
              <w:bottom w:w="0" w:type="dxa"/>
              <w:right w:w="105" w:type="dxa"/>
            </w:tcMar>
            <w:vAlign w:val="center"/>
          </w:tcPr>
          <w:p w14:paraId="5928FE71">
            <w:pPr>
              <w:pStyle w:val="16"/>
              <w:numPr>
                <w:ilvl w:val="0"/>
                <w:numId w:val="2"/>
              </w:numPr>
              <w:ind w:firstLineChars="0"/>
            </w:pPr>
            <w:r>
              <w:rPr>
                <w:rFonts w:hint="eastAsia"/>
              </w:rPr>
              <w:t>攻击面与漏洞治理平台两套（黄埔及荔湾院区各部署一套）。</w:t>
            </w:r>
          </w:p>
          <w:p w14:paraId="14B62260">
            <w:pPr>
              <w:pStyle w:val="16"/>
              <w:numPr>
                <w:ilvl w:val="0"/>
                <w:numId w:val="2"/>
              </w:numPr>
              <w:ind w:firstLineChars="0"/>
            </w:pPr>
            <w:r>
              <w:rPr>
                <w:rFonts w:hint="eastAsia"/>
              </w:rPr>
              <w:t>网络威胁追踪溯源系统两套（黄埔及荔湾院区各部署一套）。</w:t>
            </w:r>
          </w:p>
          <w:p w14:paraId="2A5170E0">
            <w:pPr>
              <w:pStyle w:val="16"/>
              <w:numPr>
                <w:ilvl w:val="0"/>
                <w:numId w:val="2"/>
              </w:numPr>
              <w:ind w:firstLineChars="0"/>
            </w:pPr>
            <w:r>
              <w:rPr>
                <w:rFonts w:hint="eastAsia"/>
              </w:rPr>
              <w:t>漏扫与蜜罐二合一探针一套。</w:t>
            </w:r>
          </w:p>
          <w:p w14:paraId="11641D77">
            <w:pPr>
              <w:pStyle w:val="16"/>
              <w:numPr>
                <w:ilvl w:val="0"/>
                <w:numId w:val="2"/>
              </w:numPr>
              <w:ind w:firstLineChars="0"/>
            </w:pPr>
            <w:r>
              <w:rPr>
                <w:rFonts w:hint="eastAsia"/>
              </w:rPr>
              <w:t>下一代Web应用防护工具（一套）。</w:t>
            </w:r>
          </w:p>
          <w:p w14:paraId="48CB1AC6">
            <w:pPr>
              <w:pStyle w:val="16"/>
              <w:numPr>
                <w:ilvl w:val="0"/>
                <w:numId w:val="2"/>
              </w:numPr>
              <w:ind w:firstLineChars="0"/>
            </w:pPr>
            <w:r>
              <w:rPr>
                <w:rFonts w:hint="eastAsia"/>
              </w:rPr>
              <w:t>CFCA OV通配符SSL证书-国产（一张）。</w:t>
            </w:r>
          </w:p>
          <w:p w14:paraId="7F0E43A7">
            <w:pPr>
              <w:pStyle w:val="16"/>
              <w:numPr>
                <w:ilvl w:val="0"/>
                <w:numId w:val="2"/>
              </w:numPr>
              <w:ind w:firstLineChars="0"/>
            </w:pPr>
            <w:r>
              <w:rPr>
                <w:rFonts w:hint="eastAsia"/>
              </w:rPr>
              <w:t>终端安全管理工具（2000个点）。</w:t>
            </w:r>
          </w:p>
          <w:p w14:paraId="32CEEEC7">
            <w:pPr>
              <w:pStyle w:val="16"/>
              <w:numPr>
                <w:ilvl w:val="0"/>
                <w:numId w:val="2"/>
              </w:numPr>
              <w:ind w:firstLineChars="0"/>
            </w:pPr>
            <w:r>
              <w:rPr>
                <w:rFonts w:hint="eastAsia"/>
              </w:rPr>
              <w:t>安全隔离与信息交换系统（一套）。</w:t>
            </w:r>
          </w:p>
        </w:tc>
      </w:tr>
      <w:tr w14:paraId="4EFB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FFFFFF"/>
            <w:tcMar>
              <w:top w:w="0" w:type="dxa"/>
              <w:left w:w="105" w:type="dxa"/>
              <w:bottom w:w="0" w:type="dxa"/>
              <w:right w:w="105" w:type="dxa"/>
            </w:tcMar>
            <w:vAlign w:val="center"/>
          </w:tcPr>
          <w:p w14:paraId="0B3AE4AC">
            <w:r>
              <w:rPr>
                <w:rFonts w:hint="eastAsia"/>
              </w:rPr>
              <w:t>9</w:t>
            </w:r>
          </w:p>
        </w:tc>
        <w:tc>
          <w:tcPr>
            <w:tcW w:w="1432" w:type="dxa"/>
            <w:shd w:val="clear" w:color="auto" w:fill="FFFFFF"/>
            <w:tcMar>
              <w:top w:w="0" w:type="dxa"/>
              <w:left w:w="105" w:type="dxa"/>
              <w:bottom w:w="0" w:type="dxa"/>
              <w:right w:w="105" w:type="dxa"/>
            </w:tcMar>
            <w:vAlign w:val="center"/>
          </w:tcPr>
          <w:p w14:paraId="6D63621D">
            <w:r>
              <w:rPr>
                <w:rFonts w:hint="eastAsia"/>
              </w:rPr>
              <w:t>网络安全深度监测服务</w:t>
            </w:r>
          </w:p>
        </w:tc>
        <w:tc>
          <w:tcPr>
            <w:tcW w:w="1284" w:type="dxa"/>
            <w:shd w:val="clear" w:color="auto" w:fill="FFFFFF"/>
            <w:tcMar>
              <w:top w:w="0" w:type="dxa"/>
              <w:left w:w="105" w:type="dxa"/>
              <w:bottom w:w="0" w:type="dxa"/>
              <w:right w:w="105" w:type="dxa"/>
            </w:tcMar>
            <w:vAlign w:val="center"/>
          </w:tcPr>
          <w:p w14:paraId="18B7E541">
            <w:r>
              <w:rPr>
                <w:rFonts w:hint="eastAsia"/>
              </w:rPr>
              <w:t>12个月</w:t>
            </w:r>
          </w:p>
        </w:tc>
        <w:tc>
          <w:tcPr>
            <w:tcW w:w="5216" w:type="dxa"/>
            <w:shd w:val="clear" w:color="auto" w:fill="FFFFFF"/>
            <w:tcMar>
              <w:top w:w="0" w:type="dxa"/>
              <w:left w:w="105" w:type="dxa"/>
              <w:bottom w:w="0" w:type="dxa"/>
              <w:right w:w="105" w:type="dxa"/>
            </w:tcMar>
            <w:vAlign w:val="center"/>
          </w:tcPr>
          <w:p w14:paraId="61E2A5AF">
            <w:r>
              <w:rPr>
                <w:rFonts w:hint="eastAsia"/>
              </w:rPr>
              <w:t>供应商通过安全运营中心统一接管[攻击面与漏洞治理平台]和[网络威胁追踪溯源系统],7*24小时深度监测医院的网络安全状况，对收集到的各种安全事件进行深层的分析、统计、和关联，定位安全风险，及时反映被管理资产的安全情况，对各类安全事件及时发现和定位，并及时提供处理方法和建议，协助医院管理员进行事件分析、风险分析、预警管理和应急响应处理。</w:t>
            </w:r>
          </w:p>
        </w:tc>
      </w:tr>
    </w:tbl>
    <w:p w14:paraId="11CDA6B0">
      <w:pPr>
        <w:pStyle w:val="2"/>
      </w:pPr>
    </w:p>
    <w:p w14:paraId="198067C9"/>
    <w:p w14:paraId="6154A553">
      <w:pPr>
        <w:pStyle w:val="2"/>
      </w:pPr>
    </w:p>
    <w:p w14:paraId="075740EA">
      <w:pPr>
        <w:pStyle w:val="2"/>
      </w:pPr>
    </w:p>
    <w:p w14:paraId="396209B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Helvetica">
    <w:altName w:val="Arial"/>
    <w:panose1 w:val="020B05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pStyle w:val="18"/>
      <w:suff w:val="space"/>
      <w:lvlText w:val="%1. "/>
      <w:lvlJc w:val="left"/>
      <w:pPr>
        <w:ind w:left="907" w:hanging="907"/>
      </w:pPr>
      <w:rPr>
        <w:rFonts w:hint="eastAsia"/>
        <w:lang w:val="en-US"/>
      </w:rPr>
    </w:lvl>
    <w:lvl w:ilvl="1" w:tentative="0">
      <w:start w:val="1"/>
      <w:numFmt w:val="decimal"/>
      <w:pStyle w:val="19"/>
      <w:isLgl/>
      <w:suff w:val="space"/>
      <w:lvlText w:val="%1.%2 "/>
      <w:lvlJc w:val="left"/>
      <w:pPr>
        <w:ind w:left="794" w:hanging="794"/>
      </w:pPr>
      <w:rPr>
        <w:rFonts w:hint="eastAsia"/>
      </w:rPr>
    </w:lvl>
    <w:lvl w:ilvl="2" w:tentative="0">
      <w:start w:val="1"/>
      <w:numFmt w:val="decimal"/>
      <w:pStyle w:val="20"/>
      <w:isLgl/>
      <w:suff w:val="space"/>
      <w:lvlText w:val="%1.%2.%3 "/>
      <w:lvlJc w:val="left"/>
      <w:pPr>
        <w:ind w:left="907" w:hanging="907"/>
      </w:pPr>
      <w:rPr>
        <w:rFonts w:hint="eastAsia"/>
      </w:rPr>
    </w:lvl>
    <w:lvl w:ilvl="3" w:tentative="0">
      <w:start w:val="1"/>
      <w:numFmt w:val="decimal"/>
      <w:pStyle w:val="21"/>
      <w:isLgl/>
      <w:suff w:val="space"/>
      <w:lvlText w:val="%1.%2.%3.%4 "/>
      <w:lvlJc w:val="left"/>
      <w:pPr>
        <w:ind w:left="1021" w:hanging="1021"/>
      </w:pPr>
      <w:rPr>
        <w:rFonts w:hint="eastAsia"/>
      </w:rPr>
    </w:lvl>
    <w:lvl w:ilvl="4" w:tentative="0">
      <w:start w:val="1"/>
      <w:numFmt w:val="decimal"/>
      <w:pStyle w:val="22"/>
      <w:isLgl/>
      <w:suff w:val="space"/>
      <w:lvlText w:val="%1.%2.%3.%4.%5 "/>
      <w:lvlJc w:val="left"/>
      <w:pPr>
        <w:ind w:left="1134" w:hanging="1134"/>
      </w:pPr>
      <w:rPr>
        <w:rFonts w:hint="eastAsia"/>
      </w:rPr>
    </w:lvl>
    <w:lvl w:ilvl="5" w:tentative="0">
      <w:start w:val="1"/>
      <w:numFmt w:val="decimal"/>
      <w:pStyle w:val="23"/>
      <w:isLgl/>
      <w:suff w:val="space"/>
      <w:lvlText w:val="%1.%2.%3.%4.%5.%6 "/>
      <w:lvlJc w:val="left"/>
      <w:pPr>
        <w:ind w:left="1247" w:hanging="1247"/>
      </w:pPr>
      <w:rPr>
        <w:rFonts w:hint="eastAsia"/>
      </w:rPr>
    </w:lvl>
    <w:lvl w:ilvl="6" w:tentative="0">
      <w:start w:val="1"/>
      <w:numFmt w:val="decimal"/>
      <w:lvlRestart w:val="1"/>
      <w:pStyle w:val="24"/>
      <w:isLgl/>
      <w:suff w:val="space"/>
      <w:lvlText w:val="图 %1.%7 "/>
      <w:lvlJc w:val="left"/>
      <w:pPr>
        <w:ind w:left="0" w:firstLine="0"/>
      </w:pPr>
      <w:rPr>
        <w:rFonts w:hint="eastAsia"/>
      </w:rPr>
    </w:lvl>
    <w:lvl w:ilvl="7" w:tentative="0">
      <w:start w:val="1"/>
      <w:numFmt w:val="decimal"/>
      <w:lvlRestart w:val="1"/>
      <w:pStyle w:val="25"/>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A275B5E"/>
    <w:multiLevelType w:val="multilevel"/>
    <w:tmpl w:val="5A275B5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wNDYxZGQxYjM3Zjk1NzlmMjU4YmZiZWEzNzdhNGUifQ=="/>
  </w:docVars>
  <w:rsids>
    <w:rsidRoot w:val="00D20F3C"/>
    <w:rsid w:val="0006476C"/>
    <w:rsid w:val="00091D3F"/>
    <w:rsid w:val="000F29E3"/>
    <w:rsid w:val="000F66C4"/>
    <w:rsid w:val="00117CD0"/>
    <w:rsid w:val="0015059F"/>
    <w:rsid w:val="0015072A"/>
    <w:rsid w:val="001B230B"/>
    <w:rsid w:val="00240E33"/>
    <w:rsid w:val="002473C9"/>
    <w:rsid w:val="00260B4E"/>
    <w:rsid w:val="003076E5"/>
    <w:rsid w:val="003430BC"/>
    <w:rsid w:val="003671AF"/>
    <w:rsid w:val="00376A78"/>
    <w:rsid w:val="00425476"/>
    <w:rsid w:val="0044249E"/>
    <w:rsid w:val="00447E70"/>
    <w:rsid w:val="004665BD"/>
    <w:rsid w:val="0049163F"/>
    <w:rsid w:val="004B4607"/>
    <w:rsid w:val="004E2256"/>
    <w:rsid w:val="004E76E3"/>
    <w:rsid w:val="005068DD"/>
    <w:rsid w:val="00550534"/>
    <w:rsid w:val="00555072"/>
    <w:rsid w:val="00556CA8"/>
    <w:rsid w:val="00580847"/>
    <w:rsid w:val="005A659C"/>
    <w:rsid w:val="005F18EB"/>
    <w:rsid w:val="005F554C"/>
    <w:rsid w:val="00622FF6"/>
    <w:rsid w:val="0066031D"/>
    <w:rsid w:val="00684434"/>
    <w:rsid w:val="00702DFD"/>
    <w:rsid w:val="00703DDC"/>
    <w:rsid w:val="00727618"/>
    <w:rsid w:val="007A4A35"/>
    <w:rsid w:val="007B0516"/>
    <w:rsid w:val="007D4C0B"/>
    <w:rsid w:val="007F6322"/>
    <w:rsid w:val="00832765"/>
    <w:rsid w:val="008609D6"/>
    <w:rsid w:val="008A0CA4"/>
    <w:rsid w:val="008B187F"/>
    <w:rsid w:val="008B28D6"/>
    <w:rsid w:val="00932961"/>
    <w:rsid w:val="00936202"/>
    <w:rsid w:val="00953A62"/>
    <w:rsid w:val="00975E4A"/>
    <w:rsid w:val="009A7B61"/>
    <w:rsid w:val="009C054D"/>
    <w:rsid w:val="009F07AE"/>
    <w:rsid w:val="00A73170"/>
    <w:rsid w:val="00AA35F0"/>
    <w:rsid w:val="00AB1E5B"/>
    <w:rsid w:val="00AB3A3B"/>
    <w:rsid w:val="00B03E40"/>
    <w:rsid w:val="00B12E7F"/>
    <w:rsid w:val="00B542F3"/>
    <w:rsid w:val="00B65DAC"/>
    <w:rsid w:val="00B65EA5"/>
    <w:rsid w:val="00B73B94"/>
    <w:rsid w:val="00B87F68"/>
    <w:rsid w:val="00BC1508"/>
    <w:rsid w:val="00CA45ED"/>
    <w:rsid w:val="00CF558B"/>
    <w:rsid w:val="00CF6DB2"/>
    <w:rsid w:val="00D0784B"/>
    <w:rsid w:val="00D20707"/>
    <w:rsid w:val="00D20F3C"/>
    <w:rsid w:val="00D317AF"/>
    <w:rsid w:val="00D4001A"/>
    <w:rsid w:val="00D97854"/>
    <w:rsid w:val="00DF645D"/>
    <w:rsid w:val="00E24986"/>
    <w:rsid w:val="00E80BB5"/>
    <w:rsid w:val="00EB6038"/>
    <w:rsid w:val="00ED514B"/>
    <w:rsid w:val="00F473DA"/>
    <w:rsid w:val="00F55ABB"/>
    <w:rsid w:val="00FC21B2"/>
    <w:rsid w:val="011E0236"/>
    <w:rsid w:val="01311D17"/>
    <w:rsid w:val="050414F1"/>
    <w:rsid w:val="05281683"/>
    <w:rsid w:val="08191757"/>
    <w:rsid w:val="0837398B"/>
    <w:rsid w:val="08B60D54"/>
    <w:rsid w:val="098A6F7A"/>
    <w:rsid w:val="09DC0C8E"/>
    <w:rsid w:val="09E33DCA"/>
    <w:rsid w:val="0BBA6DAD"/>
    <w:rsid w:val="0D1150F2"/>
    <w:rsid w:val="0E3C7F4D"/>
    <w:rsid w:val="0E572FD9"/>
    <w:rsid w:val="0E72396F"/>
    <w:rsid w:val="0E7771D7"/>
    <w:rsid w:val="0E876D05"/>
    <w:rsid w:val="0FE4264A"/>
    <w:rsid w:val="103B0B58"/>
    <w:rsid w:val="11A27578"/>
    <w:rsid w:val="16FA74C1"/>
    <w:rsid w:val="185365BF"/>
    <w:rsid w:val="1D7F0519"/>
    <w:rsid w:val="1E8A663B"/>
    <w:rsid w:val="1FE3647B"/>
    <w:rsid w:val="25B763DF"/>
    <w:rsid w:val="27D03788"/>
    <w:rsid w:val="28D177B8"/>
    <w:rsid w:val="28E03E9F"/>
    <w:rsid w:val="2B7D3C27"/>
    <w:rsid w:val="2CD06399"/>
    <w:rsid w:val="2EDA6C9B"/>
    <w:rsid w:val="2EE45D81"/>
    <w:rsid w:val="30635C57"/>
    <w:rsid w:val="30847806"/>
    <w:rsid w:val="30E97669"/>
    <w:rsid w:val="350C7DCA"/>
    <w:rsid w:val="3787198A"/>
    <w:rsid w:val="37ED5C91"/>
    <w:rsid w:val="39524E4D"/>
    <w:rsid w:val="3B202D8E"/>
    <w:rsid w:val="3E263CAA"/>
    <w:rsid w:val="43CD7DDF"/>
    <w:rsid w:val="453273D9"/>
    <w:rsid w:val="46565349"/>
    <w:rsid w:val="46C8418B"/>
    <w:rsid w:val="474D22A8"/>
    <w:rsid w:val="48DF1625"/>
    <w:rsid w:val="48E2699E"/>
    <w:rsid w:val="493A4AAE"/>
    <w:rsid w:val="4AD52CE0"/>
    <w:rsid w:val="4B25550F"/>
    <w:rsid w:val="4BDA5C54"/>
    <w:rsid w:val="4C3B3017"/>
    <w:rsid w:val="4EC372F3"/>
    <w:rsid w:val="50FB4B23"/>
    <w:rsid w:val="517174DB"/>
    <w:rsid w:val="53315101"/>
    <w:rsid w:val="56552F27"/>
    <w:rsid w:val="57BB6B35"/>
    <w:rsid w:val="57C33A8F"/>
    <w:rsid w:val="58F72073"/>
    <w:rsid w:val="5A166E71"/>
    <w:rsid w:val="5A47702B"/>
    <w:rsid w:val="5A767910"/>
    <w:rsid w:val="5A9C1B97"/>
    <w:rsid w:val="5AA93841"/>
    <w:rsid w:val="5E1831B8"/>
    <w:rsid w:val="5E36363E"/>
    <w:rsid w:val="5F5C0DF1"/>
    <w:rsid w:val="60AA20C1"/>
    <w:rsid w:val="6142679E"/>
    <w:rsid w:val="615D5386"/>
    <w:rsid w:val="63B76FCF"/>
    <w:rsid w:val="63BA6ABF"/>
    <w:rsid w:val="67696832"/>
    <w:rsid w:val="6888024C"/>
    <w:rsid w:val="6B916358"/>
    <w:rsid w:val="6C1A634D"/>
    <w:rsid w:val="6DDF784E"/>
    <w:rsid w:val="6ED92CE3"/>
    <w:rsid w:val="6F863CF9"/>
    <w:rsid w:val="6F8D5088"/>
    <w:rsid w:val="6FE54EC4"/>
    <w:rsid w:val="701C37DC"/>
    <w:rsid w:val="708E10B8"/>
    <w:rsid w:val="71B708C1"/>
    <w:rsid w:val="74AC4202"/>
    <w:rsid w:val="74F811F5"/>
    <w:rsid w:val="75DE488F"/>
    <w:rsid w:val="77324E93"/>
    <w:rsid w:val="78056103"/>
    <w:rsid w:val="7E152E18"/>
    <w:rsid w:val="7F0F5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40" w:lineRule="atLeast"/>
      <w:jc w:val="both"/>
    </w:pPr>
    <w:rPr>
      <w:rFonts w:ascii="Arial" w:hAnsi="Arial" w:eastAsia="宋体" w:cs="Times New Roman"/>
      <w:sz w:val="21"/>
      <w:szCs w:val="21"/>
      <w:lang w:val="en-US" w:eastAsia="zh-CN" w:bidi="ar-SA"/>
    </w:rPr>
  </w:style>
  <w:style w:type="paragraph" w:styleId="3">
    <w:name w:val="heading 1"/>
    <w:basedOn w:val="1"/>
    <w:next w:val="1"/>
    <w:link w:val="29"/>
    <w:qFormat/>
    <w:uiPriority w:val="9"/>
    <w:pPr>
      <w:keepNext/>
      <w:keepLines/>
      <w:spacing w:before="340" w:after="330" w:line="578" w:lineRule="atLeast"/>
      <w:outlineLvl w:val="0"/>
    </w:pPr>
    <w:rPr>
      <w:b/>
      <w:bCs/>
      <w:kern w:val="44"/>
      <w:sz w:val="44"/>
      <w:szCs w:val="44"/>
    </w:rPr>
  </w:style>
  <w:style w:type="paragraph" w:styleId="4">
    <w:name w:val="heading 2"/>
    <w:basedOn w:val="1"/>
    <w:next w:val="1"/>
    <w:link w:val="30"/>
    <w:semiHidden/>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5">
    <w:name w:val="heading 3"/>
    <w:basedOn w:val="1"/>
    <w:next w:val="1"/>
    <w:link w:val="31"/>
    <w:semiHidden/>
    <w:unhideWhenUsed/>
    <w:qFormat/>
    <w:uiPriority w:val="9"/>
    <w:pPr>
      <w:keepNext/>
      <w:keepLines/>
      <w:spacing w:before="260" w:after="260" w:line="416" w:lineRule="atLeast"/>
      <w:outlineLvl w:val="2"/>
    </w:pPr>
    <w:rPr>
      <w:b/>
      <w:bCs/>
      <w:sz w:val="32"/>
      <w:szCs w:val="32"/>
    </w:rPr>
  </w:style>
  <w:style w:type="paragraph" w:styleId="6">
    <w:name w:val="heading 4"/>
    <w:basedOn w:val="1"/>
    <w:next w:val="1"/>
    <w:link w:val="32"/>
    <w:semiHidden/>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5"/>
    <w:unhideWhenUsed/>
    <w:qFormat/>
    <w:uiPriority w:val="99"/>
    <w:pPr>
      <w:spacing w:after="120"/>
    </w:pPr>
  </w:style>
  <w:style w:type="paragraph" w:styleId="7">
    <w:name w:val="footer"/>
    <w:basedOn w:val="1"/>
    <w:link w:val="14"/>
    <w:unhideWhenUsed/>
    <w:qFormat/>
    <w:uiPriority w:val="99"/>
    <w:pPr>
      <w:widowControl w:val="0"/>
      <w:tabs>
        <w:tab w:val="center" w:pos="4153"/>
        <w:tab w:val="right" w:pos="8306"/>
      </w:tabs>
      <w:snapToGrid w:val="0"/>
      <w:spacing w:line="240" w:lineRule="auto"/>
      <w:jc w:val="left"/>
    </w:pPr>
    <w:rPr>
      <w:rFonts w:asciiTheme="minorHAnsi" w:hAnsiTheme="minorHAnsi" w:eastAsiaTheme="minorEastAsia" w:cstheme="minorBidi"/>
      <w:kern w:val="2"/>
      <w:sz w:val="18"/>
      <w:szCs w:val="18"/>
    </w:rPr>
  </w:style>
  <w:style w:type="paragraph" w:styleId="8">
    <w:name w:val="header"/>
    <w:basedOn w:val="1"/>
    <w:link w:val="13"/>
    <w:unhideWhenUsed/>
    <w:qFormat/>
    <w:uiPriority w:val="99"/>
    <w:pPr>
      <w:widowControl w:val="0"/>
      <w:tabs>
        <w:tab w:val="center" w:pos="4153"/>
        <w:tab w:val="right" w:pos="8306"/>
      </w:tabs>
      <w:snapToGrid w:val="0"/>
      <w:spacing w:line="240" w:lineRule="auto"/>
      <w:jc w:val="center"/>
    </w:pPr>
    <w:rPr>
      <w:rFonts w:asciiTheme="minorHAnsi" w:hAnsiTheme="minorHAnsi" w:eastAsiaTheme="minorEastAsia" w:cstheme="minorBidi"/>
      <w:kern w:val="2"/>
      <w:sz w:val="18"/>
      <w:szCs w:val="18"/>
    </w:rPr>
  </w:style>
  <w:style w:type="character" w:styleId="11">
    <w:name w:val="Strong"/>
    <w:basedOn w:val="10"/>
    <w:qFormat/>
    <w:uiPriority w:val="22"/>
    <w:rPr>
      <w:b/>
    </w:rPr>
  </w:style>
  <w:style w:type="character" w:styleId="12">
    <w:name w:val="Hyperlink"/>
    <w:basedOn w:val="10"/>
    <w:semiHidden/>
    <w:unhideWhenUsed/>
    <w:uiPriority w:val="99"/>
    <w:rPr>
      <w:color w:val="0000FF"/>
      <w:u w:val="single"/>
    </w:rPr>
  </w:style>
  <w:style w:type="character" w:customStyle="1" w:styleId="13">
    <w:name w:val="页眉 字符"/>
    <w:basedOn w:val="10"/>
    <w:link w:val="8"/>
    <w:qFormat/>
    <w:uiPriority w:val="99"/>
    <w:rPr>
      <w:sz w:val="18"/>
      <w:szCs w:val="18"/>
    </w:rPr>
  </w:style>
  <w:style w:type="character" w:customStyle="1" w:styleId="14">
    <w:name w:val="页脚 字符"/>
    <w:basedOn w:val="10"/>
    <w:link w:val="7"/>
    <w:qFormat/>
    <w:uiPriority w:val="99"/>
    <w:rPr>
      <w:sz w:val="18"/>
      <w:szCs w:val="18"/>
    </w:rPr>
  </w:style>
  <w:style w:type="character" w:customStyle="1" w:styleId="15">
    <w:name w:val="正文文本 字符"/>
    <w:basedOn w:val="10"/>
    <w:link w:val="2"/>
    <w:qFormat/>
    <w:uiPriority w:val="99"/>
    <w:rPr>
      <w:rFonts w:ascii="Arial" w:hAnsi="Arial" w:eastAsia="宋体" w:cs="Times New Roman"/>
      <w:kern w:val="0"/>
      <w:szCs w:val="21"/>
    </w:rPr>
  </w:style>
  <w:style w:type="paragraph" w:styleId="16">
    <w:name w:val="List Paragraph"/>
    <w:basedOn w:val="1"/>
    <w:qFormat/>
    <w:uiPriority w:val="34"/>
    <w:pPr>
      <w:ind w:firstLine="420" w:firstLineChars="200"/>
    </w:pPr>
  </w:style>
  <w:style w:type="paragraph" w:customStyle="1" w:styleId="17">
    <w:name w:val="正文（绿盟科技）"/>
    <w:link w:val="26"/>
    <w:qFormat/>
    <w:uiPriority w:val="0"/>
    <w:pPr>
      <w:spacing w:line="300" w:lineRule="auto"/>
    </w:pPr>
    <w:rPr>
      <w:rFonts w:ascii="Arial" w:hAnsi="Arial" w:eastAsia="宋体" w:cs="Times New Roman"/>
      <w:sz w:val="21"/>
      <w:szCs w:val="21"/>
      <w:lang w:val="en-US" w:eastAsia="zh-CN" w:bidi="ar-SA"/>
    </w:rPr>
  </w:style>
  <w:style w:type="paragraph" w:customStyle="1" w:styleId="18">
    <w:name w:val="标题 1（绿盟科技）"/>
    <w:basedOn w:val="3"/>
    <w:next w:val="17"/>
    <w:qFormat/>
    <w:uiPriority w:val="0"/>
    <w:pPr>
      <w:widowControl w:val="0"/>
      <w:numPr>
        <w:ilvl w:val="0"/>
        <w:numId w:val="1"/>
      </w:numPr>
      <w:pBdr>
        <w:bottom w:val="single" w:color="auto" w:sz="48" w:space="1"/>
      </w:pBdr>
      <w:tabs>
        <w:tab w:val="left" w:pos="360"/>
        <w:tab w:val="left" w:pos="432"/>
      </w:tabs>
      <w:spacing w:before="600" w:line="576" w:lineRule="auto"/>
      <w:ind w:left="0" w:firstLine="0"/>
      <w:jc w:val="left"/>
    </w:pPr>
    <w:rPr>
      <w:rFonts w:eastAsia="黑体"/>
    </w:rPr>
  </w:style>
  <w:style w:type="paragraph" w:customStyle="1" w:styleId="19">
    <w:name w:val="标题 2（绿盟科技）"/>
    <w:basedOn w:val="4"/>
    <w:next w:val="17"/>
    <w:qFormat/>
    <w:uiPriority w:val="0"/>
    <w:pPr>
      <w:widowControl w:val="0"/>
      <w:numPr>
        <w:ilvl w:val="1"/>
        <w:numId w:val="1"/>
      </w:numPr>
      <w:tabs>
        <w:tab w:val="left" w:pos="360"/>
        <w:tab w:val="left" w:pos="576"/>
      </w:tabs>
      <w:spacing w:line="415" w:lineRule="auto"/>
      <w:ind w:left="0" w:firstLine="0"/>
      <w:jc w:val="left"/>
    </w:pPr>
    <w:rPr>
      <w:rFonts w:ascii="Arial" w:hAnsi="Arial" w:eastAsia="黑体" w:cs="Times New Roman"/>
      <w:bCs w:val="0"/>
      <w:kern w:val="2"/>
    </w:rPr>
  </w:style>
  <w:style w:type="paragraph" w:customStyle="1" w:styleId="20">
    <w:name w:val="标题 3（绿盟科技）"/>
    <w:basedOn w:val="5"/>
    <w:next w:val="17"/>
    <w:qFormat/>
    <w:uiPriority w:val="0"/>
    <w:pPr>
      <w:widowControl w:val="0"/>
      <w:numPr>
        <w:ilvl w:val="2"/>
        <w:numId w:val="1"/>
      </w:numPr>
      <w:tabs>
        <w:tab w:val="left" w:pos="360"/>
        <w:tab w:val="left" w:pos="720"/>
        <w:tab w:val="left" w:pos="960"/>
      </w:tabs>
      <w:spacing w:line="415" w:lineRule="auto"/>
      <w:ind w:left="0" w:firstLine="0"/>
      <w:jc w:val="left"/>
    </w:pPr>
    <w:rPr>
      <w:rFonts w:eastAsia="黑体"/>
      <w:bCs w:val="0"/>
      <w:sz w:val="30"/>
      <w:szCs w:val="30"/>
    </w:rPr>
  </w:style>
  <w:style w:type="paragraph" w:customStyle="1" w:styleId="21">
    <w:name w:val="标题 4（绿盟科技）"/>
    <w:basedOn w:val="6"/>
    <w:next w:val="17"/>
    <w:qFormat/>
    <w:uiPriority w:val="0"/>
    <w:pPr>
      <w:numPr>
        <w:ilvl w:val="3"/>
        <w:numId w:val="1"/>
      </w:numPr>
      <w:tabs>
        <w:tab w:val="left" w:pos="360"/>
        <w:tab w:val="left" w:pos="864"/>
      </w:tabs>
      <w:spacing w:after="156" w:line="376" w:lineRule="auto"/>
      <w:ind w:left="0" w:firstLine="0"/>
      <w:jc w:val="left"/>
    </w:pPr>
    <w:rPr>
      <w:rFonts w:ascii="Arial" w:hAnsi="Arial" w:eastAsia="黑体" w:cs="Times New Roman"/>
      <w:bCs w:val="0"/>
    </w:rPr>
  </w:style>
  <w:style w:type="paragraph" w:customStyle="1" w:styleId="22">
    <w:name w:val="标题 5（有编号）（绿盟科技）"/>
    <w:basedOn w:val="1"/>
    <w:next w:val="17"/>
    <w:qFormat/>
    <w:uiPriority w:val="0"/>
    <w:pPr>
      <w:keepNext/>
      <w:keepLines/>
      <w:widowControl w:val="0"/>
      <w:numPr>
        <w:ilvl w:val="4"/>
        <w:numId w:val="1"/>
      </w:numPr>
      <w:spacing w:before="280" w:after="156" w:line="377" w:lineRule="auto"/>
      <w:jc w:val="left"/>
      <w:outlineLvl w:val="4"/>
    </w:pPr>
    <w:rPr>
      <w:rFonts w:eastAsia="黑体"/>
      <w:b/>
      <w:sz w:val="24"/>
      <w:szCs w:val="28"/>
    </w:rPr>
  </w:style>
  <w:style w:type="paragraph" w:customStyle="1" w:styleId="23">
    <w:name w:val="标题 6（有编号）（绿盟科技）"/>
    <w:basedOn w:val="1"/>
    <w:next w:val="17"/>
    <w:qFormat/>
    <w:uiPriority w:val="0"/>
    <w:pPr>
      <w:keepNext/>
      <w:keepLines/>
      <w:widowControl w:val="0"/>
      <w:numPr>
        <w:ilvl w:val="5"/>
        <w:numId w:val="1"/>
      </w:numPr>
      <w:spacing w:before="240" w:after="64" w:line="319" w:lineRule="auto"/>
      <w:jc w:val="left"/>
      <w:outlineLvl w:val="5"/>
    </w:pPr>
    <w:rPr>
      <w:rFonts w:eastAsia="黑体"/>
      <w:b/>
      <w:szCs w:val="24"/>
    </w:rPr>
  </w:style>
  <w:style w:type="paragraph" w:customStyle="1" w:styleId="24">
    <w:name w:val="插图标注（绿盟科技）"/>
    <w:next w:val="17"/>
    <w:qFormat/>
    <w:uiPriority w:val="0"/>
    <w:pPr>
      <w:numPr>
        <w:ilvl w:val="6"/>
        <w:numId w:val="1"/>
      </w:numPr>
      <w:spacing w:after="156"/>
      <w:jc w:val="center"/>
    </w:pPr>
    <w:rPr>
      <w:rFonts w:ascii="Arial" w:hAnsi="Arial" w:eastAsia="宋体" w:cs="Arial"/>
      <w:sz w:val="21"/>
      <w:szCs w:val="21"/>
      <w:lang w:val="en-US" w:eastAsia="zh-CN" w:bidi="ar-SA"/>
    </w:rPr>
  </w:style>
  <w:style w:type="paragraph" w:customStyle="1" w:styleId="25">
    <w:name w:val="表格标注（绿盟科技）"/>
    <w:basedOn w:val="24"/>
    <w:next w:val="17"/>
    <w:qFormat/>
    <w:uiPriority w:val="0"/>
    <w:pPr>
      <w:numPr>
        <w:ilvl w:val="7"/>
      </w:numPr>
    </w:pPr>
  </w:style>
  <w:style w:type="character" w:customStyle="1" w:styleId="26">
    <w:name w:val="正文（绿盟科技） Char"/>
    <w:basedOn w:val="10"/>
    <w:link w:val="17"/>
    <w:qFormat/>
    <w:uiPriority w:val="0"/>
    <w:rPr>
      <w:rFonts w:ascii="Arial" w:hAnsi="Arial"/>
      <w:sz w:val="21"/>
      <w:szCs w:val="21"/>
    </w:rPr>
  </w:style>
  <w:style w:type="paragraph" w:customStyle="1" w:styleId="27">
    <w:name w:val="标题 2_0"/>
    <w:basedOn w:val="1"/>
    <w:next w:val="1"/>
    <w:link w:val="28"/>
    <w:qFormat/>
    <w:uiPriority w:val="0"/>
    <w:pPr>
      <w:keepNext/>
      <w:keepLines/>
      <w:widowControl w:val="0"/>
      <w:adjustRightInd w:val="0"/>
      <w:snapToGrid w:val="0"/>
      <w:spacing w:line="360" w:lineRule="auto"/>
      <w:jc w:val="center"/>
      <w:outlineLvl w:val="1"/>
    </w:pPr>
    <w:rPr>
      <w:rFonts w:ascii="宋体" w:cs="Helvetica"/>
      <w:kern w:val="2"/>
      <w:sz w:val="32"/>
      <w:szCs w:val="20"/>
      <w:lang w:val="zh-CN"/>
    </w:rPr>
  </w:style>
  <w:style w:type="character" w:customStyle="1" w:styleId="28">
    <w:name w:val="标题 2 Char1"/>
    <w:link w:val="27"/>
    <w:qFormat/>
    <w:uiPriority w:val="0"/>
    <w:rPr>
      <w:rFonts w:ascii="宋体" w:hAnsi="Arial" w:cs="Helvetica"/>
      <w:kern w:val="2"/>
      <w:sz w:val="32"/>
      <w:lang w:val="zh-CN"/>
    </w:rPr>
  </w:style>
  <w:style w:type="character" w:customStyle="1" w:styleId="29">
    <w:name w:val="标题 1 字符"/>
    <w:basedOn w:val="10"/>
    <w:link w:val="3"/>
    <w:qFormat/>
    <w:uiPriority w:val="9"/>
    <w:rPr>
      <w:rFonts w:ascii="Arial" w:hAnsi="Arial"/>
      <w:b/>
      <w:bCs/>
      <w:kern w:val="44"/>
      <w:sz w:val="44"/>
      <w:szCs w:val="44"/>
    </w:rPr>
  </w:style>
  <w:style w:type="character" w:customStyle="1" w:styleId="30">
    <w:name w:val="标题 2 字符"/>
    <w:basedOn w:val="10"/>
    <w:link w:val="4"/>
    <w:semiHidden/>
    <w:qFormat/>
    <w:uiPriority w:val="9"/>
    <w:rPr>
      <w:rFonts w:asciiTheme="majorHAnsi" w:hAnsiTheme="majorHAnsi" w:eastAsiaTheme="majorEastAsia" w:cstheme="majorBidi"/>
      <w:b/>
      <w:bCs/>
      <w:sz w:val="32"/>
      <w:szCs w:val="32"/>
    </w:rPr>
  </w:style>
  <w:style w:type="character" w:customStyle="1" w:styleId="31">
    <w:name w:val="标题 3 字符"/>
    <w:basedOn w:val="10"/>
    <w:link w:val="5"/>
    <w:semiHidden/>
    <w:qFormat/>
    <w:uiPriority w:val="9"/>
    <w:rPr>
      <w:rFonts w:ascii="Arial" w:hAnsi="Arial"/>
      <w:b/>
      <w:bCs/>
      <w:sz w:val="32"/>
      <w:szCs w:val="32"/>
    </w:rPr>
  </w:style>
  <w:style w:type="character" w:customStyle="1" w:styleId="32">
    <w:name w:val="标题 4 字符"/>
    <w:basedOn w:val="10"/>
    <w:link w:val="6"/>
    <w:semiHidden/>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AFBC1-594C-4768-8100-4EEB3ABF8E67}">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1362</Words>
  <Characters>1405</Characters>
  <Lines>34</Lines>
  <Paragraphs>9</Paragraphs>
  <TotalTime>56</TotalTime>
  <ScaleCrop>false</ScaleCrop>
  <LinksUpToDate>false</LinksUpToDate>
  <CharactersWithSpaces>1410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2024-09-06T02:47:00Z</dcterms:created>
  <dc:creator>lh huang</dc:creator>
  <cp:lastModifiedBy>1</cp:lastModifiedBy>
  <dcterms:modified xsi:type="dcterms:W3CDTF">2024-09-13T00:44:05Z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5213F0C9B68A4E7793FB7C707DA5F9D2_13</vt:lpwstr>
  </property>
</Properties>
</file>