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cs="宋体"/>
          <w:b/>
          <w:bCs/>
          <w:sz w:val="24"/>
        </w:rPr>
      </w:pPr>
      <w:r>
        <w:rPr>
          <w:rFonts w:hint="eastAsia" w:ascii="宋体" w:hAnsi="宋体" w:eastAsia="宋体" w:cs="宋体"/>
          <w:b/>
          <w:bCs/>
          <w:sz w:val="24"/>
        </w:rPr>
        <w:t>广州医科大学附属第三医院（黄埔院区）急诊、住院部出入口防冲撞设施采购及配套安装项目需求</w:t>
      </w:r>
    </w:p>
    <w:p>
      <w:pPr>
        <w:spacing w:line="360" w:lineRule="auto"/>
        <w:rPr>
          <w:rFonts w:ascii="宋体" w:hAnsi="宋体" w:eastAsia="宋体" w:cs="宋体"/>
          <w:b/>
          <w:bCs/>
          <w:sz w:val="24"/>
        </w:rPr>
      </w:pPr>
      <w:r>
        <w:rPr>
          <w:rFonts w:hint="eastAsia" w:ascii="宋体" w:hAnsi="宋体" w:eastAsia="宋体" w:cs="宋体"/>
          <w:b/>
          <w:bCs/>
          <w:sz w:val="24"/>
        </w:rPr>
        <w:t>一、项目名称：</w:t>
      </w:r>
      <w:r>
        <w:rPr>
          <w:rFonts w:hint="eastAsia" w:ascii="宋体" w:hAnsi="宋体" w:eastAsia="宋体" w:cs="宋体"/>
          <w:sz w:val="24"/>
        </w:rPr>
        <w:t>广州医科大学附属第三医院（黄埔院区）急诊、住院部出入口防冲撞设施采购及配套安装项目</w:t>
      </w:r>
    </w:p>
    <w:p>
      <w:pPr>
        <w:spacing w:line="360" w:lineRule="auto"/>
        <w:rPr>
          <w:rFonts w:ascii="宋体" w:hAnsi="宋体" w:eastAsia="宋体" w:cs="宋体"/>
          <w:b/>
          <w:bCs/>
          <w:sz w:val="24"/>
        </w:rPr>
      </w:pPr>
      <w:r>
        <w:rPr>
          <w:rFonts w:hint="eastAsia" w:ascii="宋体" w:hAnsi="宋体" w:eastAsia="宋体" w:cs="宋体"/>
          <w:b/>
          <w:bCs/>
          <w:sz w:val="24"/>
        </w:rPr>
        <w:t>二、项目要求：</w:t>
      </w:r>
    </w:p>
    <w:p>
      <w:pPr>
        <w:tabs>
          <w:tab w:val="right" w:pos="7826"/>
        </w:tabs>
        <w:spacing w:line="360" w:lineRule="auto"/>
        <w:ind w:firstLine="480"/>
        <w:rPr>
          <w:rFonts w:hint="eastAsia" w:ascii="宋体" w:hAnsi="宋体" w:eastAsia="宋体" w:cs="宋体"/>
          <w:sz w:val="24"/>
          <w:lang w:eastAsia="zh-CN"/>
        </w:rPr>
      </w:pPr>
      <w:r>
        <w:rPr>
          <w:rFonts w:hint="eastAsia" w:ascii="宋体" w:hAnsi="宋体" w:eastAsia="宋体" w:cs="宋体"/>
          <w:sz w:val="24"/>
        </w:rPr>
        <w:t>1.施工地点：广州市黄埔区长贤路55号。</w:t>
      </w:r>
      <w:r>
        <w:rPr>
          <w:rFonts w:hint="eastAsia" w:ascii="宋体" w:hAnsi="宋体" w:eastAsia="宋体" w:cs="宋体"/>
          <w:sz w:val="24"/>
          <w:lang w:eastAsia="zh-CN"/>
        </w:rPr>
        <w:tab/>
      </w:r>
      <w:bookmarkStart w:id="0" w:name="_GoBack"/>
      <w:bookmarkEnd w:id="0"/>
    </w:p>
    <w:p>
      <w:pPr>
        <w:spacing w:line="360" w:lineRule="auto"/>
        <w:ind w:firstLine="48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于急诊门门岗处（宽度为12.5米）安装全自动液压升降柱11根，于住院部东二门门岗处（宽度为10.35米）安装全自动液压升降柱9根。</w:t>
      </w:r>
    </w:p>
    <w:p>
      <w:pPr>
        <w:spacing w:line="360" w:lineRule="auto"/>
        <w:ind w:firstLine="480"/>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.完成新装设施调试，确保安全可靠，施工完成后做好施工现场恢复工作。</w:t>
      </w:r>
    </w:p>
    <w:p>
      <w:pPr>
        <w:spacing w:line="360" w:lineRule="auto"/>
        <w:rPr>
          <w:rFonts w:ascii="宋体" w:hAnsi="宋体" w:eastAsia="宋体" w:cs="宋体"/>
          <w:b/>
          <w:bCs/>
          <w:sz w:val="24"/>
        </w:rPr>
      </w:pPr>
      <w:r>
        <w:rPr>
          <w:rFonts w:hint="eastAsia" w:ascii="宋体" w:hAnsi="宋体" w:eastAsia="宋体" w:cs="宋体"/>
          <w:b/>
          <w:bCs/>
          <w:sz w:val="24"/>
        </w:rPr>
        <w:t>三、项目预算：</w:t>
      </w:r>
      <w:r>
        <w:rPr>
          <w:rFonts w:hint="eastAsia" w:ascii="宋体" w:hAnsi="宋体" w:eastAsia="宋体" w:cs="宋体"/>
          <w:sz w:val="24"/>
        </w:rPr>
        <w:t>人民币</w:t>
      </w:r>
      <w:r>
        <w:rPr>
          <w:rFonts w:ascii="宋体" w:hAnsi="宋体" w:eastAsia="宋体" w:cs="宋体"/>
          <w:sz w:val="24"/>
          <w:u w:val="single"/>
        </w:rPr>
        <w:t>150</w:t>
      </w:r>
      <w:r>
        <w:rPr>
          <w:rFonts w:hint="eastAsia" w:ascii="宋体" w:hAnsi="宋体" w:eastAsia="宋体" w:cs="宋体"/>
          <w:sz w:val="24"/>
          <w:u w:val="single"/>
        </w:rPr>
        <w:t>,000</w:t>
      </w:r>
      <w:r>
        <w:rPr>
          <w:rFonts w:hint="eastAsia" w:ascii="宋体" w:hAnsi="宋体" w:eastAsia="宋体" w:cs="宋体"/>
          <w:sz w:val="24"/>
        </w:rPr>
        <w:t>元（含税）</w:t>
      </w:r>
    </w:p>
    <w:p>
      <w:pPr>
        <w:spacing w:line="360" w:lineRule="auto"/>
        <w:rPr>
          <w:rFonts w:ascii="宋体" w:hAnsi="宋体" w:eastAsia="宋体" w:cs="宋体"/>
          <w:b/>
          <w:bCs/>
          <w:sz w:val="24"/>
        </w:rPr>
      </w:pPr>
      <w:r>
        <w:rPr>
          <w:rFonts w:hint="eastAsia" w:ascii="宋体" w:hAnsi="宋体" w:eastAsia="宋体" w:cs="宋体"/>
          <w:b/>
          <w:bCs/>
          <w:sz w:val="24"/>
        </w:rPr>
        <w:t>四、项目商务要求</w:t>
      </w:r>
    </w:p>
    <w:p>
      <w:pPr>
        <w:spacing w:line="360" w:lineRule="auto"/>
        <w:ind w:firstLine="480" w:firstLineChars="200"/>
        <w:rPr>
          <w:rFonts w:ascii="宋体" w:hAnsi="宋体"/>
          <w:sz w:val="24"/>
        </w:rPr>
      </w:pPr>
      <w:r>
        <w:rPr>
          <w:rFonts w:hint="eastAsia" w:ascii="宋体" w:hAnsi="宋体"/>
          <w:sz w:val="24"/>
        </w:rPr>
        <w:t>1.报价要求：投标人报价中必须包括项目全部内容的费用，费用不管是否在报价人报价书中单列，均视为报价总价中已包括该费用。</w:t>
      </w:r>
    </w:p>
    <w:p>
      <w:pPr>
        <w:spacing w:line="360" w:lineRule="auto"/>
        <w:ind w:firstLine="480" w:firstLineChars="200"/>
        <w:rPr>
          <w:rFonts w:ascii="宋体" w:hAnsi="宋体"/>
          <w:sz w:val="24"/>
        </w:rPr>
      </w:pPr>
      <w:r>
        <w:rPr>
          <w:rFonts w:hint="eastAsia" w:ascii="宋体" w:hAnsi="宋体"/>
          <w:sz w:val="24"/>
        </w:rPr>
        <w:t>2.验收要求：按合同、谈判和报价文件约定的要求和标准进行验收。</w:t>
      </w:r>
    </w:p>
    <w:p>
      <w:pPr>
        <w:spacing w:line="360" w:lineRule="auto"/>
        <w:ind w:firstLine="480" w:firstLineChars="200"/>
        <w:rPr>
          <w:rFonts w:ascii="宋体" w:hAnsi="宋体"/>
          <w:sz w:val="24"/>
        </w:rPr>
      </w:pPr>
      <w:r>
        <w:rPr>
          <w:rFonts w:hint="eastAsia" w:ascii="宋体" w:hAnsi="宋体"/>
          <w:sz w:val="24"/>
        </w:rPr>
        <w:t>3.付款方式：</w:t>
      </w:r>
    </w:p>
    <w:p>
      <w:pPr>
        <w:spacing w:line="360" w:lineRule="auto"/>
        <w:ind w:firstLine="480" w:firstLineChars="200"/>
        <w:rPr>
          <w:rFonts w:ascii="宋体" w:hAnsi="宋体"/>
          <w:sz w:val="24"/>
        </w:rPr>
      </w:pPr>
      <w:r>
        <w:rPr>
          <w:rFonts w:hint="eastAsia" w:ascii="宋体" w:hAnsi="宋体"/>
          <w:sz w:val="24"/>
        </w:rPr>
        <w:t>a)</w:t>
      </w:r>
      <w:r>
        <w:rPr>
          <w:rFonts w:hint="eastAsia"/>
        </w:rPr>
        <w:t xml:space="preserve"> </w:t>
      </w:r>
      <w:r>
        <w:rPr>
          <w:rFonts w:hint="eastAsia" w:ascii="宋体" w:hAnsi="宋体"/>
          <w:sz w:val="24"/>
        </w:rPr>
        <w:t>第一次付款：供应商按照签订合同在指定地点完成全部货物交货、安装并验收合格，90天内支付9</w:t>
      </w:r>
      <w:r>
        <w:rPr>
          <w:rFonts w:ascii="宋体" w:hAnsi="宋体"/>
          <w:sz w:val="24"/>
        </w:rPr>
        <w:t>5</w:t>
      </w:r>
      <w:r>
        <w:rPr>
          <w:rFonts w:hint="eastAsia" w:ascii="宋体" w:hAnsi="宋体"/>
          <w:sz w:val="24"/>
        </w:rPr>
        <w:t>%的合同款；第二次付款：质保期过后支付剩余</w:t>
      </w:r>
      <w:r>
        <w:rPr>
          <w:rFonts w:ascii="宋体" w:hAnsi="宋体"/>
          <w:sz w:val="24"/>
        </w:rPr>
        <w:t>5</w:t>
      </w:r>
      <w:r>
        <w:rPr>
          <w:rFonts w:hint="eastAsia" w:ascii="宋体" w:hAnsi="宋体"/>
          <w:sz w:val="24"/>
        </w:rPr>
        <w:t>%尾款。</w:t>
      </w:r>
    </w:p>
    <w:p>
      <w:pPr>
        <w:spacing w:line="360" w:lineRule="auto"/>
        <w:ind w:firstLine="480" w:firstLineChars="200"/>
        <w:rPr>
          <w:rFonts w:ascii="宋体" w:hAnsi="宋体"/>
          <w:sz w:val="24"/>
        </w:rPr>
      </w:pPr>
      <w:r>
        <w:rPr>
          <w:rFonts w:hint="eastAsia" w:ascii="宋体" w:hAnsi="宋体"/>
          <w:sz w:val="24"/>
        </w:rPr>
        <w:t>b)付款方式：采用银行汇付（含电汇）形式。</w:t>
      </w:r>
    </w:p>
    <w:p>
      <w:pPr>
        <w:spacing w:line="360" w:lineRule="auto"/>
        <w:ind w:firstLine="480" w:firstLineChars="200"/>
        <w:rPr>
          <w:rFonts w:ascii="宋体" w:hAnsi="宋体"/>
          <w:sz w:val="24"/>
        </w:rPr>
      </w:pPr>
      <w:r>
        <w:rPr>
          <w:rFonts w:hint="eastAsia" w:ascii="宋体" w:hAnsi="宋体"/>
          <w:sz w:val="24"/>
        </w:rPr>
        <w:t>c)款项支付时，投标人同时向采购人提供相应金额的正式发票。</w:t>
      </w:r>
    </w:p>
    <w:p>
      <w:pPr>
        <w:spacing w:line="360" w:lineRule="auto"/>
        <w:rPr>
          <w:rFonts w:ascii="宋体" w:hAnsi="宋体" w:eastAsia="宋体" w:cs="宋体"/>
          <w:b/>
          <w:bCs/>
          <w:sz w:val="24"/>
        </w:rPr>
      </w:pPr>
      <w:r>
        <w:rPr>
          <w:rFonts w:hint="eastAsia" w:ascii="宋体" w:hAnsi="宋体" w:eastAsia="宋体" w:cs="宋体"/>
          <w:b/>
          <w:bCs/>
          <w:sz w:val="24"/>
        </w:rPr>
        <w:t>五、投标人资格及要求</w:t>
      </w:r>
    </w:p>
    <w:p>
      <w:pPr>
        <w:spacing w:line="360" w:lineRule="auto"/>
        <w:ind w:firstLine="480" w:firstLineChars="200"/>
        <w:rPr>
          <w:rFonts w:ascii="宋体" w:hAnsi="宋体"/>
          <w:sz w:val="24"/>
        </w:rPr>
      </w:pPr>
      <w:r>
        <w:rPr>
          <w:rFonts w:hint="eastAsia" w:ascii="宋体" w:hAnsi="宋体"/>
          <w:sz w:val="24"/>
        </w:rPr>
        <w:t>1.必须是具有独立承担民事责任能力的在中华人民共和国境内注册的法人或其他组织或自然人，分公司投标的，必须由具有法人资格的总公司授权；</w:t>
      </w:r>
    </w:p>
    <w:p>
      <w:pPr>
        <w:spacing w:line="360" w:lineRule="auto"/>
        <w:ind w:firstLine="480" w:firstLineChars="200"/>
        <w:rPr>
          <w:rFonts w:ascii="宋体" w:hAnsi="宋体"/>
          <w:sz w:val="24"/>
        </w:rPr>
      </w:pPr>
      <w:r>
        <w:rPr>
          <w:rFonts w:hint="eastAsia" w:ascii="宋体" w:hAnsi="宋体"/>
          <w:sz w:val="24"/>
        </w:rPr>
        <w:t>2.具备《中华人民共和国政府采购法》第二十二条资格条件；</w:t>
      </w:r>
    </w:p>
    <w:p>
      <w:pPr>
        <w:spacing w:line="360" w:lineRule="auto"/>
        <w:ind w:firstLine="480" w:firstLineChars="200"/>
        <w:rPr>
          <w:rFonts w:ascii="宋体" w:hAnsi="宋体"/>
          <w:sz w:val="24"/>
        </w:rPr>
      </w:pPr>
      <w:r>
        <w:rPr>
          <w:rFonts w:hint="eastAsia" w:ascii="宋体" w:hAnsi="宋体"/>
          <w:sz w:val="24"/>
        </w:rPr>
        <w:t xml:space="preserve">2.1提供在中华人民共和国境内有效的执照（或证书）副本、组织机构代码证、税务登记证（国税、地税）复印件或三证合一证明文件复印件证明。分公司投标的，必须提供总公司的营业执照副本复印件及总公司针对本项目投标的授权书原件；如投标人为自然人的需提供自然人身份证明； </w:t>
      </w:r>
    </w:p>
    <w:p>
      <w:pPr>
        <w:spacing w:line="360" w:lineRule="auto"/>
        <w:ind w:firstLine="480" w:firstLineChars="200"/>
        <w:rPr>
          <w:rFonts w:ascii="宋体" w:hAnsi="宋体"/>
          <w:sz w:val="24"/>
        </w:rPr>
      </w:pPr>
      <w:r>
        <w:rPr>
          <w:rFonts w:hint="eastAsia" w:ascii="宋体" w:hAnsi="宋体"/>
          <w:sz w:val="24"/>
        </w:rPr>
        <w:t>2.2提供符合法律、行政法规规定的其他条件的书面声明。</w:t>
      </w:r>
    </w:p>
    <w:p>
      <w:pPr>
        <w:spacing w:line="360" w:lineRule="auto"/>
        <w:ind w:firstLine="480" w:firstLineChars="200"/>
        <w:rPr>
          <w:rFonts w:ascii="宋体" w:hAnsi="宋体"/>
          <w:sz w:val="24"/>
        </w:rPr>
      </w:pPr>
      <w:r>
        <w:rPr>
          <w:rFonts w:hint="eastAsia" w:ascii="宋体" w:hAnsi="宋体"/>
          <w:sz w:val="24"/>
        </w:rPr>
        <w:t>3.不同的投标人之间有下列情形之一的，不接受作为参与同一采购项目竞争的投标人：</w:t>
      </w:r>
    </w:p>
    <w:p>
      <w:pPr>
        <w:spacing w:line="360" w:lineRule="auto"/>
        <w:ind w:firstLine="480" w:firstLineChars="200"/>
        <w:rPr>
          <w:rFonts w:ascii="宋体" w:hAnsi="宋体"/>
          <w:sz w:val="24"/>
        </w:rPr>
      </w:pPr>
      <w:r>
        <w:rPr>
          <w:rFonts w:hint="eastAsia" w:ascii="宋体" w:hAnsi="宋体"/>
          <w:sz w:val="24"/>
        </w:rPr>
        <w:t>3.1法定代表人或单位负责人为同一人或者存在直接控股、管理关系的投标人。</w:t>
      </w:r>
    </w:p>
    <w:p>
      <w:pPr>
        <w:spacing w:line="360" w:lineRule="auto"/>
        <w:ind w:firstLine="480" w:firstLineChars="200"/>
        <w:rPr>
          <w:rFonts w:ascii="宋体" w:hAnsi="宋体"/>
          <w:sz w:val="24"/>
        </w:rPr>
      </w:pPr>
      <w:r>
        <w:rPr>
          <w:rFonts w:hint="eastAsia" w:ascii="宋体" w:hAnsi="宋体"/>
          <w:sz w:val="24"/>
        </w:rPr>
        <w:t>3.2为采购项目提供整体设计、规范编制或者项目管理、监理、检测等服务的投标人。</w:t>
      </w:r>
    </w:p>
    <w:p>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4.具有机电安装专业承包质资叁级（或以上）资质、</w:t>
      </w:r>
      <w:r>
        <w:rPr>
          <w:rFonts w:hint="eastAsia" w:ascii="宋体" w:hAnsi="宋体" w:eastAsia="宋体" w:cs="宋体"/>
          <w:color w:val="000000" w:themeColor="text1"/>
          <w:kern w:val="0"/>
          <w:sz w:val="24"/>
          <w14:textFill>
            <w14:solidFill>
              <w14:schemeClr w14:val="tx1"/>
            </w14:solidFill>
          </w14:textFill>
        </w:rPr>
        <w:t>广东省安全技术防范系统设计、施工、维修肆级（或以上）资格证书、电子智能化专业承包二级</w:t>
      </w:r>
      <w:r>
        <w:rPr>
          <w:rFonts w:hint="eastAsia" w:ascii="宋体" w:hAnsi="宋体" w:eastAsia="宋体" w:cs="宋体"/>
          <w:color w:val="000000" w:themeColor="text1"/>
          <w:sz w:val="24"/>
          <w14:textFill>
            <w14:solidFill>
              <w14:schemeClr w14:val="tx1"/>
            </w14:solidFill>
          </w14:textFill>
        </w:rPr>
        <w:t>（或以上）资质、</w:t>
      </w:r>
      <w:r>
        <w:rPr>
          <w:rFonts w:hint="eastAsia" w:ascii="宋体" w:hAnsi="宋体" w:eastAsia="宋体" w:cs="宋体"/>
          <w:color w:val="000000" w:themeColor="text1"/>
          <w:kern w:val="0"/>
          <w:sz w:val="24"/>
          <w14:textFill>
            <w14:solidFill>
              <w14:schemeClr w14:val="tx1"/>
            </w14:solidFill>
          </w14:textFill>
        </w:rPr>
        <w:t>安全生产许可证。</w:t>
      </w:r>
    </w:p>
    <w:p>
      <w:pPr>
        <w:spacing w:line="360" w:lineRule="auto"/>
        <w:ind w:firstLine="480" w:firstLineChars="200"/>
        <w:rPr>
          <w:rFonts w:ascii="宋体" w:hAnsi="宋体" w:eastAsia="宋体" w:cs="宋体"/>
          <w:kern w:val="0"/>
          <w:sz w:val="24"/>
        </w:rPr>
      </w:pPr>
      <w:r>
        <w:rPr>
          <w:rFonts w:ascii="宋体" w:hAnsi="宋体" w:eastAsia="宋体" w:cs="宋体"/>
          <w:sz w:val="24"/>
        </w:rPr>
        <w:t>5</w:t>
      </w:r>
      <w:r>
        <w:rPr>
          <w:rFonts w:hint="eastAsia" w:ascii="宋体" w:hAnsi="宋体" w:eastAsia="宋体" w:cs="宋体"/>
          <w:sz w:val="24"/>
        </w:rPr>
        <w:t>.具有相关业绩证明（中标通知书或合同复印件）；</w:t>
      </w:r>
    </w:p>
    <w:p>
      <w:pPr>
        <w:spacing w:line="360" w:lineRule="auto"/>
        <w:ind w:firstLine="480" w:firstLineChars="200"/>
        <w:rPr>
          <w:rFonts w:ascii="宋体" w:hAnsi="宋体" w:eastAsia="宋体" w:cs="宋体"/>
          <w:kern w:val="0"/>
          <w:sz w:val="24"/>
        </w:rPr>
      </w:pPr>
      <w:r>
        <w:rPr>
          <w:rFonts w:ascii="宋体" w:hAnsi="宋体" w:eastAsia="宋体" w:cs="宋体"/>
          <w:sz w:val="24"/>
        </w:rPr>
        <w:t>6</w:t>
      </w:r>
      <w:r>
        <w:rPr>
          <w:rFonts w:hint="eastAsia" w:ascii="宋体" w:hAnsi="宋体" w:eastAsia="宋体" w:cs="宋体"/>
          <w:sz w:val="24"/>
        </w:rPr>
        <w:t>.</w:t>
      </w:r>
      <w:r>
        <w:rPr>
          <w:rFonts w:hint="eastAsia" w:ascii="宋体" w:hAnsi="宋体" w:eastAsia="宋体" w:cs="宋体"/>
          <w:kern w:val="0"/>
          <w:sz w:val="24"/>
        </w:rPr>
        <w:t xml:space="preserve">投标人未被列入失信被执行人、重大税收违法案件当事人名单、政府采购、环境保护、知识产权等领域严重违法失信行为记录名单。【以采购代理机构在投标截止日当天在“信用中国”网站（www.creditchina.gov.cn）及中国政府采购网(www.ccgp.gov.cn)查询结果为准，注：若投标人为分支机构的，同时对该分支机构所属总公司（总所）进行信用记录查询，该分支机构所属总公司(总所）存在不良信用记录的，视同投标人存在不良信用记录。】 </w:t>
      </w:r>
    </w:p>
    <w:p>
      <w:pPr>
        <w:spacing w:line="360" w:lineRule="auto"/>
        <w:ind w:left="502" w:leftChars="239"/>
        <w:rPr>
          <w:rFonts w:ascii="宋体" w:hAnsi="宋体" w:eastAsia="宋体" w:cs="宋体"/>
          <w:sz w:val="24"/>
        </w:rPr>
      </w:pPr>
      <w:r>
        <w:rPr>
          <w:rFonts w:ascii="宋体" w:hAnsi="宋体" w:eastAsia="宋体" w:cs="宋体"/>
          <w:sz w:val="24"/>
        </w:rPr>
        <w:t>7</w:t>
      </w:r>
      <w:r>
        <w:rPr>
          <w:rFonts w:hint="eastAsia" w:ascii="宋体" w:hAnsi="宋体" w:eastAsia="宋体" w:cs="宋体"/>
          <w:sz w:val="24"/>
        </w:rPr>
        <w:t>.本项目不接受联合体投标。</w:t>
      </w:r>
    </w:p>
    <w:p>
      <w:pPr>
        <w:spacing w:line="360" w:lineRule="auto"/>
        <w:rPr>
          <w:rFonts w:ascii="宋体" w:hAnsi="宋体" w:eastAsia="宋体" w:cs="宋体"/>
          <w:b/>
          <w:bCs/>
          <w:sz w:val="24"/>
        </w:rPr>
      </w:pPr>
      <w:r>
        <w:rPr>
          <w:rFonts w:hint="eastAsia" w:ascii="宋体" w:hAnsi="宋体" w:eastAsia="宋体" w:cs="宋体"/>
          <w:b/>
          <w:bCs/>
          <w:sz w:val="24"/>
        </w:rPr>
        <w:t>六、投标文件及装订顺序要求：</w:t>
      </w:r>
    </w:p>
    <w:p>
      <w:pPr>
        <w:spacing w:line="360" w:lineRule="auto"/>
        <w:ind w:firstLine="480" w:firstLineChars="200"/>
        <w:rPr>
          <w:rFonts w:ascii="宋体" w:hAnsi="宋体" w:eastAsia="宋体" w:cs="宋体"/>
          <w:sz w:val="24"/>
        </w:rPr>
      </w:pPr>
      <w:r>
        <w:rPr>
          <w:rFonts w:hint="eastAsia" w:ascii="宋体" w:hAnsi="宋体" w:eastAsia="宋体" w:cs="宋体"/>
          <w:sz w:val="24"/>
        </w:rPr>
        <w:t>1.有效的法人营业执照（或证明）副本、组织机构代码证、税务登记证（国税、地税）复印件或三证合一证明文件复印件证明，提供国内注册（指按国家有关规定要求注册的），分公司投标的，必须由具有法人资格的总公司授权原件；</w:t>
      </w:r>
    </w:p>
    <w:p>
      <w:pPr>
        <w:spacing w:line="360" w:lineRule="auto"/>
        <w:ind w:firstLine="480" w:firstLineChars="200"/>
        <w:rPr>
          <w:rFonts w:ascii="宋体" w:hAnsi="宋体" w:eastAsia="宋体" w:cs="宋体"/>
          <w:sz w:val="24"/>
        </w:rPr>
      </w:pPr>
      <w:r>
        <w:rPr>
          <w:rFonts w:hint="eastAsia" w:ascii="宋体" w:hAnsi="宋体" w:eastAsia="宋体" w:cs="宋体"/>
          <w:sz w:val="24"/>
        </w:rPr>
        <w:t>2.法定代表人/负责人资格证明书及法定代表人授权委托书原件（若投标授权代表为法人，则只需提供法定代表人/负责人资格证明书）；</w:t>
      </w:r>
    </w:p>
    <w:p>
      <w:pPr>
        <w:spacing w:line="360" w:lineRule="auto"/>
        <w:ind w:firstLine="480" w:firstLineChars="200"/>
        <w:rPr>
          <w:rFonts w:ascii="宋体" w:hAnsi="宋体" w:eastAsia="宋体" w:cs="宋体"/>
          <w:sz w:val="24"/>
        </w:rPr>
      </w:pPr>
      <w:r>
        <w:rPr>
          <w:rFonts w:hint="eastAsia" w:ascii="宋体" w:hAnsi="宋体" w:eastAsia="宋体" w:cs="宋体"/>
          <w:sz w:val="24"/>
        </w:rPr>
        <w:t>3.法定代表人及供应商授权代表身份证复印件（若投标授权代表为法人，则只需提供法定代表人身份证复印件）；</w:t>
      </w:r>
    </w:p>
    <w:p>
      <w:pPr>
        <w:spacing w:line="360" w:lineRule="auto"/>
        <w:ind w:firstLine="480" w:firstLineChars="200"/>
        <w:rPr>
          <w:rFonts w:ascii="宋体" w:hAnsi="宋体" w:eastAsia="宋体" w:cs="宋体"/>
          <w:sz w:val="24"/>
        </w:rPr>
      </w:pPr>
      <w:r>
        <w:rPr>
          <w:rFonts w:hint="eastAsia" w:ascii="宋体" w:hAnsi="宋体" w:eastAsia="宋体" w:cs="宋体"/>
          <w:sz w:val="24"/>
        </w:rPr>
        <w:t>4.投标报价表（见本文件第七项）；</w:t>
      </w:r>
    </w:p>
    <w:p>
      <w:pPr>
        <w:spacing w:line="360" w:lineRule="auto"/>
        <w:ind w:firstLine="480" w:firstLineChars="200"/>
        <w:rPr>
          <w:rFonts w:ascii="宋体" w:hAnsi="宋体" w:eastAsia="宋体" w:cs="宋体"/>
          <w:sz w:val="24"/>
        </w:rPr>
      </w:pPr>
      <w:r>
        <w:rPr>
          <w:rFonts w:hint="eastAsia" w:ascii="宋体" w:hAnsi="宋体" w:eastAsia="宋体" w:cs="宋体"/>
          <w:sz w:val="24"/>
        </w:rPr>
        <w:t>5.“投标人资质要求”要求的相关证明材料；</w:t>
      </w:r>
    </w:p>
    <w:p>
      <w:pPr>
        <w:spacing w:line="360" w:lineRule="auto"/>
        <w:ind w:firstLine="480" w:firstLineChars="200"/>
        <w:rPr>
          <w:rFonts w:ascii="宋体" w:hAnsi="宋体" w:eastAsia="宋体" w:cs="宋体"/>
          <w:sz w:val="24"/>
        </w:rPr>
      </w:pPr>
      <w:r>
        <w:rPr>
          <w:rFonts w:hint="eastAsia" w:ascii="宋体" w:hAnsi="宋体" w:eastAsia="宋体" w:cs="宋体"/>
          <w:sz w:val="24"/>
        </w:rPr>
        <w:t>6.组织实施方案；</w:t>
      </w:r>
    </w:p>
    <w:p>
      <w:pPr>
        <w:spacing w:line="360" w:lineRule="auto"/>
        <w:ind w:firstLine="480" w:firstLineChars="200"/>
        <w:rPr>
          <w:rFonts w:ascii="宋体" w:hAnsi="宋体" w:eastAsia="宋体" w:cs="宋体"/>
          <w:sz w:val="24"/>
        </w:rPr>
      </w:pPr>
      <w:r>
        <w:rPr>
          <w:rFonts w:hint="eastAsia" w:ascii="宋体" w:hAnsi="宋体" w:eastAsia="宋体" w:cs="宋体"/>
          <w:sz w:val="24"/>
        </w:rPr>
        <w:t>7.服务承诺书；</w:t>
      </w:r>
    </w:p>
    <w:p>
      <w:pPr>
        <w:spacing w:line="360" w:lineRule="auto"/>
        <w:ind w:firstLine="480" w:firstLineChars="200"/>
        <w:rPr>
          <w:rFonts w:ascii="宋体" w:hAnsi="宋体" w:eastAsia="宋体" w:cs="宋体"/>
          <w:sz w:val="24"/>
        </w:rPr>
      </w:pPr>
      <w:r>
        <w:rPr>
          <w:rFonts w:hint="eastAsia" w:ascii="宋体" w:hAnsi="宋体" w:eastAsia="宋体" w:cs="宋体"/>
          <w:sz w:val="24"/>
        </w:rPr>
        <w:t>8.投标文件一式三份（一正本两副本）。</w:t>
      </w:r>
    </w:p>
    <w:p>
      <w:pPr>
        <w:spacing w:line="360" w:lineRule="auto"/>
        <w:rPr>
          <w:rFonts w:ascii="宋体" w:hAnsi="宋体" w:eastAsia="宋体" w:cs="宋体"/>
          <w:b/>
          <w:bCs/>
          <w:sz w:val="24"/>
        </w:rPr>
      </w:pPr>
      <w:r>
        <w:rPr>
          <w:rFonts w:hint="eastAsia" w:ascii="宋体" w:hAnsi="宋体" w:eastAsia="宋体" w:cs="宋体"/>
          <w:b/>
          <w:bCs/>
          <w:sz w:val="24"/>
        </w:rPr>
        <w:t>以上资料均要求密封并加盖公章。</w:t>
      </w:r>
    </w:p>
    <w:p>
      <w:pPr>
        <w:spacing w:line="360" w:lineRule="auto"/>
        <w:rPr>
          <w:rFonts w:ascii="宋体" w:hAnsi="宋体" w:eastAsia="宋体" w:cs="宋体"/>
          <w:sz w:val="24"/>
        </w:rPr>
      </w:pPr>
    </w:p>
    <w:p>
      <w:pPr>
        <w:spacing w:line="360" w:lineRule="auto"/>
        <w:rPr>
          <w:rFonts w:ascii="宋体" w:hAnsi="宋体" w:eastAsia="宋体" w:cs="宋体"/>
          <w:b/>
          <w:bCs/>
          <w:sz w:val="24"/>
        </w:rPr>
      </w:pPr>
      <w:r>
        <w:rPr>
          <w:rFonts w:hint="eastAsia" w:ascii="宋体" w:hAnsi="宋体" w:eastAsia="宋体" w:cs="宋体"/>
          <w:b/>
          <w:bCs/>
          <w:sz w:val="24"/>
        </w:rPr>
        <w:t>七、报价表（含采购设备清单及技术要求）：</w:t>
      </w:r>
    </w:p>
    <w:tbl>
      <w:tblPr>
        <w:tblStyle w:val="8"/>
        <w:tblW w:w="9975" w:type="dxa"/>
        <w:tblInd w:w="-389" w:type="dxa"/>
        <w:tblLayout w:type="fixed"/>
        <w:tblCellMar>
          <w:top w:w="0" w:type="dxa"/>
          <w:left w:w="108" w:type="dxa"/>
          <w:bottom w:w="0" w:type="dxa"/>
          <w:right w:w="108" w:type="dxa"/>
        </w:tblCellMar>
      </w:tblPr>
      <w:tblGrid>
        <w:gridCol w:w="639"/>
        <w:gridCol w:w="86"/>
        <w:gridCol w:w="1190"/>
        <w:gridCol w:w="4678"/>
        <w:gridCol w:w="708"/>
        <w:gridCol w:w="624"/>
        <w:gridCol w:w="650"/>
        <w:gridCol w:w="700"/>
        <w:gridCol w:w="700"/>
      </w:tblGrid>
      <w:tr>
        <w:tblPrEx>
          <w:tblCellMar>
            <w:top w:w="0" w:type="dxa"/>
            <w:left w:w="108" w:type="dxa"/>
            <w:bottom w:w="0" w:type="dxa"/>
            <w:right w:w="108" w:type="dxa"/>
          </w:tblCellMar>
        </w:tblPrEx>
        <w:trPr>
          <w:trHeight w:val="627" w:hRule="atLeast"/>
        </w:trPr>
        <w:tc>
          <w:tcPr>
            <w:tcW w:w="639"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pPr>
              <w:widowControl/>
              <w:jc w:val="center"/>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序号</w:t>
            </w: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C0C0C0"/>
            <w:noWrap/>
            <w:vAlign w:val="center"/>
          </w:tcPr>
          <w:p>
            <w:pPr>
              <w:widowControl/>
              <w:jc w:val="center"/>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设　备</w:t>
            </w:r>
          </w:p>
        </w:tc>
        <w:tc>
          <w:tcPr>
            <w:tcW w:w="4678"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pPr>
              <w:widowControl/>
              <w:jc w:val="center"/>
              <w:textAlignment w:val="center"/>
              <w:rPr>
                <w:rFonts w:ascii="宋体" w:hAnsi="宋体" w:eastAsia="宋体" w:cs="宋体"/>
                <w:b/>
                <w:bCs/>
                <w:color w:val="333333"/>
                <w:kern w:val="0"/>
                <w:sz w:val="18"/>
                <w:szCs w:val="18"/>
                <w:lang w:bidi="ar"/>
              </w:rPr>
            </w:pPr>
            <w:r>
              <w:rPr>
                <w:rFonts w:hint="eastAsia" w:ascii="宋体" w:hAnsi="宋体" w:eastAsia="宋体" w:cs="宋体"/>
                <w:b/>
                <w:bCs/>
                <w:sz w:val="18"/>
                <w:szCs w:val="18"/>
              </w:rPr>
              <w:t>参数要求</w:t>
            </w:r>
          </w:p>
        </w:tc>
        <w:tc>
          <w:tcPr>
            <w:tcW w:w="708"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pPr>
              <w:widowControl/>
              <w:jc w:val="center"/>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规格型号</w:t>
            </w:r>
          </w:p>
        </w:tc>
        <w:tc>
          <w:tcPr>
            <w:tcW w:w="624"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pPr>
              <w:widowControl/>
              <w:jc w:val="center"/>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品牌</w:t>
            </w:r>
          </w:p>
        </w:tc>
        <w:tc>
          <w:tcPr>
            <w:tcW w:w="65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pPr>
              <w:widowControl/>
              <w:jc w:val="center"/>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单位</w:t>
            </w:r>
          </w:p>
        </w:tc>
        <w:tc>
          <w:tcPr>
            <w:tcW w:w="70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pPr>
              <w:widowControl/>
              <w:jc w:val="center"/>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数量</w:t>
            </w:r>
          </w:p>
        </w:tc>
        <w:tc>
          <w:tcPr>
            <w:tcW w:w="700" w:type="dxa"/>
            <w:tcBorders>
              <w:top w:val="single" w:color="000000" w:sz="4" w:space="0"/>
              <w:left w:val="single" w:color="000000" w:sz="4" w:space="0"/>
              <w:bottom w:val="single" w:color="000000" w:sz="4" w:space="0"/>
              <w:right w:val="single" w:color="000000" w:sz="4" w:space="0"/>
            </w:tcBorders>
            <w:shd w:val="clear" w:color="auto" w:fill="C0C0C0"/>
            <w:vAlign w:val="center"/>
          </w:tcPr>
          <w:p>
            <w:pPr>
              <w:widowControl/>
              <w:jc w:val="center"/>
              <w:textAlignment w:val="center"/>
              <w:rPr>
                <w:rFonts w:ascii="宋体" w:hAnsi="宋体" w:eastAsia="宋体" w:cs="宋体"/>
                <w:b/>
                <w:bCs/>
                <w:color w:val="333333"/>
                <w:kern w:val="0"/>
                <w:sz w:val="18"/>
                <w:szCs w:val="18"/>
                <w:lang w:bidi="ar"/>
              </w:rPr>
            </w:pPr>
            <w:r>
              <w:rPr>
                <w:rFonts w:hint="eastAsia" w:ascii="宋体" w:hAnsi="宋体" w:eastAsia="宋体" w:cs="宋体"/>
                <w:b/>
                <w:bCs/>
                <w:color w:val="333333"/>
                <w:kern w:val="0"/>
                <w:sz w:val="18"/>
                <w:szCs w:val="18"/>
                <w:lang w:bidi="ar"/>
              </w:rPr>
              <w:t>报价</w:t>
            </w:r>
          </w:p>
        </w:tc>
      </w:tr>
      <w:tr>
        <w:tblPrEx>
          <w:tblCellMar>
            <w:top w:w="0" w:type="dxa"/>
            <w:left w:w="108" w:type="dxa"/>
            <w:bottom w:w="0" w:type="dxa"/>
            <w:right w:w="108" w:type="dxa"/>
          </w:tblCellMar>
        </w:tblPrEx>
        <w:trPr>
          <w:trHeight w:val="600" w:hRule="atLeast"/>
        </w:trPr>
        <w:tc>
          <w:tcPr>
            <w:tcW w:w="9975"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b/>
                <w:bCs/>
                <w:color w:val="333333"/>
                <w:kern w:val="0"/>
                <w:sz w:val="18"/>
                <w:szCs w:val="18"/>
                <w:lang w:bidi="ar"/>
              </w:rPr>
            </w:pPr>
            <w:r>
              <w:rPr>
                <w:rFonts w:hint="eastAsia" w:ascii="宋体" w:hAnsi="宋体" w:eastAsia="宋体" w:cs="宋体"/>
                <w:b/>
                <w:bCs/>
                <w:color w:val="333333"/>
                <w:kern w:val="0"/>
                <w:sz w:val="18"/>
                <w:szCs w:val="18"/>
                <w:lang w:bidi="ar"/>
              </w:rPr>
              <w:t>（一）急诊门【长12.5米】</w:t>
            </w: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1</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全自动液压升降柱</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sz w:val="18"/>
                <w:szCs w:val="18"/>
              </w:rPr>
            </w:pPr>
            <w:r>
              <w:rPr>
                <w:rFonts w:hint="eastAsia" w:ascii="宋体" w:hAnsi="宋体" w:eastAsia="宋体" w:cs="宋体"/>
                <w:sz w:val="18"/>
                <w:szCs w:val="18"/>
              </w:rPr>
              <w:t>1）采取PLC控制，系统运行性能稳定可靠，便于集成。</w:t>
            </w:r>
          </w:p>
          <w:p>
            <w:pPr>
              <w:jc w:val="left"/>
              <w:rPr>
                <w:rFonts w:ascii="宋体" w:hAnsi="宋体" w:eastAsia="宋体" w:cs="宋体"/>
                <w:sz w:val="18"/>
                <w:szCs w:val="18"/>
              </w:rPr>
            </w:pPr>
            <w:r>
              <w:rPr>
                <w:rFonts w:hint="eastAsia" w:ascii="宋体" w:hAnsi="宋体" w:eastAsia="宋体" w:cs="宋体"/>
                <w:sz w:val="18"/>
                <w:szCs w:val="18"/>
              </w:rPr>
              <w:t>2）路障机与道闸等其它设备进行联动控制，也可以与其他控制设备组合，实现自动控制。</w:t>
            </w:r>
          </w:p>
          <w:p>
            <w:pPr>
              <w:jc w:val="left"/>
              <w:rPr>
                <w:rFonts w:ascii="宋体" w:hAnsi="宋体" w:eastAsia="宋体" w:cs="宋体"/>
                <w:sz w:val="18"/>
                <w:szCs w:val="18"/>
              </w:rPr>
            </w:pPr>
            <w:r>
              <w:rPr>
                <w:rFonts w:hint="eastAsia" w:ascii="宋体" w:hAnsi="宋体" w:eastAsia="宋体" w:cs="宋体"/>
                <w:sz w:val="18"/>
                <w:szCs w:val="18"/>
              </w:rPr>
              <w:t>3）在停电的情况下或出现故障时，如路障机处于升起状态需要下降时，可以通过手动操作将升起的路障机盖板回落到水平位置以让车辆通行。</w:t>
            </w:r>
          </w:p>
          <w:p>
            <w:pPr>
              <w:jc w:val="left"/>
              <w:rPr>
                <w:rFonts w:ascii="宋体" w:hAnsi="宋体" w:eastAsia="宋体" w:cs="宋体"/>
                <w:sz w:val="18"/>
                <w:szCs w:val="18"/>
              </w:rPr>
            </w:pPr>
            <w:r>
              <w:rPr>
                <w:rFonts w:hint="eastAsia" w:ascii="宋体" w:hAnsi="宋体" w:eastAsia="宋体" w:cs="宋体"/>
                <w:sz w:val="18"/>
                <w:szCs w:val="18"/>
              </w:rPr>
              <w:t>4）采用国际领先的低压驱动技术，整个系统安全性高，可靠稳定。</w:t>
            </w:r>
          </w:p>
          <w:p>
            <w:pPr>
              <w:widowControl/>
              <w:jc w:val="left"/>
              <w:textAlignment w:val="center"/>
              <w:rPr>
                <w:rFonts w:ascii="宋体" w:hAnsi="宋体" w:eastAsia="宋体" w:cs="宋体"/>
                <w:color w:val="000000"/>
                <w:sz w:val="18"/>
                <w:szCs w:val="18"/>
              </w:rPr>
            </w:pPr>
            <w:r>
              <w:rPr>
                <w:rFonts w:hint="eastAsia" w:ascii="宋体" w:hAnsi="宋体" w:eastAsia="宋体" w:cs="宋体"/>
                <w:sz w:val="18"/>
                <w:szCs w:val="18"/>
              </w:rPr>
              <w:t>5）遥控装置:通过无线遥控的方式，可在控制器周围40米左右范围内(根据现场的无线电通讯环境而定)，活动遥控路障的升降。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11</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2</w:t>
            </w:r>
          </w:p>
        </w:tc>
        <w:tc>
          <w:tcPr>
            <w:tcW w:w="119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升降柱灯带</w:t>
            </w:r>
          </w:p>
        </w:tc>
        <w:tc>
          <w:tcPr>
            <w:tcW w:w="4678"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根</w:t>
            </w:r>
          </w:p>
        </w:tc>
        <w:tc>
          <w:tcPr>
            <w:tcW w:w="700"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11</w:t>
            </w:r>
          </w:p>
        </w:tc>
        <w:tc>
          <w:tcPr>
            <w:tcW w:w="700" w:type="dxa"/>
            <w:tcBorders>
              <w:top w:val="nil"/>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3</w:t>
            </w:r>
          </w:p>
        </w:tc>
        <w:tc>
          <w:tcPr>
            <w:tcW w:w="1190" w:type="dxa"/>
            <w:tcBorders>
              <w:top w:val="nil"/>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控制系统</w:t>
            </w:r>
          </w:p>
        </w:tc>
        <w:tc>
          <w:tcPr>
            <w:tcW w:w="4678" w:type="dxa"/>
            <w:tcBorders>
              <w:top w:val="nil"/>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nil"/>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nil"/>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套</w:t>
            </w:r>
          </w:p>
        </w:tc>
        <w:tc>
          <w:tcPr>
            <w:tcW w:w="700" w:type="dxa"/>
            <w:tcBorders>
              <w:top w:val="nil"/>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nil"/>
              <w:left w:val="single" w:color="000000" w:sz="4" w:space="0"/>
              <w:bottom w:val="single" w:color="auto"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1020" w:hRule="atLeast"/>
        </w:trPr>
        <w:tc>
          <w:tcPr>
            <w:tcW w:w="725"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4</w:t>
            </w:r>
          </w:p>
        </w:tc>
        <w:tc>
          <w:tcPr>
            <w:tcW w:w="119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排水系统</w:t>
            </w:r>
          </w:p>
        </w:tc>
        <w:tc>
          <w:tcPr>
            <w:tcW w:w="467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套</w:t>
            </w:r>
          </w:p>
        </w:tc>
        <w:tc>
          <w:tcPr>
            <w:tcW w:w="70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auto"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5</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移动护栏路障</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套</w:t>
            </w:r>
          </w:p>
        </w:tc>
        <w:tc>
          <w:tcPr>
            <w:tcW w:w="70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700" w:type="dxa"/>
            <w:tcBorders>
              <w:top w:val="single" w:color="auto"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78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6</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辅材、配件</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sz w:val="18"/>
                <w:szCs w:val="18"/>
              </w:rPr>
              <w:t>包括但不限于遥控器、电源线、水泥、沙石、钢筋、水管、线管等材料、配件</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报价时可分项单独报价</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7</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机械费用</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8</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人工安装实施费</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30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A：小计</w:t>
            </w:r>
          </w:p>
        </w:tc>
        <w:tc>
          <w:tcPr>
            <w:tcW w:w="267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333333"/>
                <w:kern w:val="0"/>
                <w:sz w:val="18"/>
                <w:szCs w:val="18"/>
                <w:lang w:bidi="ar"/>
              </w:rPr>
            </w:pPr>
            <w:r>
              <w:rPr>
                <w:rFonts w:hint="eastAsia" w:ascii="宋体" w:hAnsi="宋体" w:eastAsia="宋体" w:cs="宋体"/>
                <w:b/>
                <w:bCs/>
                <w:color w:val="333333"/>
                <w:kern w:val="0"/>
                <w:sz w:val="18"/>
                <w:szCs w:val="18"/>
                <w:lang w:bidi="ar"/>
              </w:rPr>
              <w:t xml:space="preserve"> </w:t>
            </w:r>
            <w:r>
              <w:rPr>
                <w:rFonts w:ascii="宋体" w:hAnsi="宋体" w:eastAsia="宋体" w:cs="宋体"/>
                <w:b/>
                <w:bCs/>
                <w:color w:val="333333"/>
                <w:kern w:val="0"/>
                <w:sz w:val="18"/>
                <w:szCs w:val="18"/>
                <w:lang w:bidi="ar"/>
              </w:rPr>
              <w:t xml:space="preserve">                      </w:t>
            </w:r>
            <w:r>
              <w:rPr>
                <w:rFonts w:hint="eastAsia" w:ascii="宋体" w:hAnsi="宋体" w:eastAsia="宋体" w:cs="宋体"/>
                <w:b/>
                <w:bCs/>
                <w:color w:val="333333"/>
                <w:kern w:val="0"/>
                <w:sz w:val="18"/>
                <w:szCs w:val="18"/>
                <w:lang w:bidi="ar"/>
              </w:rPr>
              <w:t>元</w:t>
            </w:r>
          </w:p>
        </w:tc>
      </w:tr>
      <w:tr>
        <w:tblPrEx>
          <w:tblCellMar>
            <w:top w:w="0" w:type="dxa"/>
            <w:left w:w="108" w:type="dxa"/>
            <w:bottom w:w="0" w:type="dxa"/>
            <w:right w:w="108" w:type="dxa"/>
          </w:tblCellMar>
        </w:tblPrEx>
        <w:trPr>
          <w:trHeight w:val="640" w:hRule="atLeast"/>
        </w:trPr>
        <w:tc>
          <w:tcPr>
            <w:tcW w:w="927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b/>
                <w:bCs/>
                <w:color w:val="333333"/>
                <w:kern w:val="0"/>
                <w:sz w:val="18"/>
                <w:szCs w:val="18"/>
                <w:lang w:bidi="ar"/>
              </w:rPr>
            </w:pPr>
            <w:r>
              <w:rPr>
                <w:rFonts w:hint="eastAsia" w:ascii="宋体" w:hAnsi="宋体" w:eastAsia="宋体" w:cs="宋体"/>
                <w:b/>
                <w:bCs/>
                <w:color w:val="333333"/>
                <w:kern w:val="0"/>
                <w:sz w:val="18"/>
                <w:szCs w:val="18"/>
                <w:lang w:bidi="ar"/>
              </w:rPr>
              <w:t>（二）东二门【长10.35米】</w:t>
            </w:r>
          </w:p>
        </w:tc>
        <w:tc>
          <w:tcPr>
            <w:tcW w:w="700" w:type="dxa"/>
            <w:tcBorders>
              <w:top w:val="single" w:color="000000" w:sz="4" w:space="0"/>
              <w:left w:val="single" w:color="000000" w:sz="4" w:space="0"/>
              <w:bottom w:val="single" w:color="000000" w:sz="4" w:space="0"/>
              <w:right w:val="single" w:color="000000" w:sz="4" w:space="0"/>
            </w:tcBorders>
          </w:tcPr>
          <w:p>
            <w:pPr>
              <w:widowControl/>
              <w:jc w:val="left"/>
              <w:textAlignment w:val="center"/>
              <w:rPr>
                <w:rFonts w:ascii="宋体" w:hAnsi="宋体" w:eastAsia="宋体" w:cs="宋体"/>
                <w:b/>
                <w:bCs/>
                <w:color w:val="333333"/>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1</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全自动液压升降柱</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sz w:val="18"/>
                <w:szCs w:val="18"/>
              </w:rPr>
            </w:pPr>
            <w:r>
              <w:rPr>
                <w:rFonts w:hint="eastAsia" w:ascii="宋体" w:hAnsi="宋体" w:eastAsia="宋体" w:cs="宋体"/>
                <w:sz w:val="18"/>
                <w:szCs w:val="18"/>
              </w:rPr>
              <w:t>1）采取PLC控制，系统运行性能稳定可靠，便于集成。</w:t>
            </w:r>
          </w:p>
          <w:p>
            <w:pPr>
              <w:jc w:val="left"/>
              <w:rPr>
                <w:rFonts w:ascii="宋体" w:hAnsi="宋体" w:eastAsia="宋体" w:cs="宋体"/>
                <w:sz w:val="18"/>
                <w:szCs w:val="18"/>
              </w:rPr>
            </w:pPr>
            <w:r>
              <w:rPr>
                <w:rFonts w:hint="eastAsia" w:ascii="宋体" w:hAnsi="宋体" w:eastAsia="宋体" w:cs="宋体"/>
                <w:sz w:val="18"/>
                <w:szCs w:val="18"/>
              </w:rPr>
              <w:t>2）路障机与道闸等其它设备进行联动控制，也可以与其他控制设备组合，实现自动控制。</w:t>
            </w:r>
          </w:p>
          <w:p>
            <w:pPr>
              <w:jc w:val="left"/>
              <w:rPr>
                <w:rFonts w:ascii="宋体" w:hAnsi="宋体" w:eastAsia="宋体" w:cs="宋体"/>
                <w:sz w:val="18"/>
                <w:szCs w:val="18"/>
              </w:rPr>
            </w:pPr>
            <w:r>
              <w:rPr>
                <w:rFonts w:hint="eastAsia" w:ascii="宋体" w:hAnsi="宋体" w:eastAsia="宋体" w:cs="宋体"/>
                <w:sz w:val="18"/>
                <w:szCs w:val="18"/>
              </w:rPr>
              <w:t>3）在停电的情况下或出现故障时，如路障机处于升起状态需要下降时，可以通过手动操作将升起的路障机盖板回落到水平位置以让车辆通行。</w:t>
            </w:r>
          </w:p>
          <w:p>
            <w:pPr>
              <w:jc w:val="left"/>
              <w:rPr>
                <w:rFonts w:ascii="宋体" w:hAnsi="宋体" w:eastAsia="宋体" w:cs="宋体"/>
                <w:sz w:val="18"/>
                <w:szCs w:val="18"/>
              </w:rPr>
            </w:pPr>
            <w:r>
              <w:rPr>
                <w:rFonts w:hint="eastAsia" w:ascii="宋体" w:hAnsi="宋体" w:eastAsia="宋体" w:cs="宋体"/>
                <w:sz w:val="18"/>
                <w:szCs w:val="18"/>
              </w:rPr>
              <w:t>4）采用国际领先的低压驱动技术，整个系统安全性高，可靠稳定。</w:t>
            </w:r>
          </w:p>
          <w:p>
            <w:pPr>
              <w:widowControl/>
              <w:jc w:val="left"/>
              <w:textAlignment w:val="center"/>
              <w:rPr>
                <w:rFonts w:ascii="宋体" w:hAnsi="宋体" w:eastAsia="宋体" w:cs="宋体"/>
                <w:color w:val="000000"/>
                <w:sz w:val="18"/>
                <w:szCs w:val="18"/>
              </w:rPr>
            </w:pPr>
            <w:r>
              <w:rPr>
                <w:rFonts w:hint="eastAsia" w:ascii="宋体" w:hAnsi="宋体" w:eastAsia="宋体" w:cs="宋体"/>
                <w:sz w:val="18"/>
                <w:szCs w:val="18"/>
              </w:rPr>
              <w:t>5）遥控装置:通过无线遥控的方式，可在控制器周围40米左右范围内(根据现场的无线电通讯环境而定)，活动遥控路障的升降。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2</w:t>
            </w:r>
          </w:p>
        </w:tc>
        <w:tc>
          <w:tcPr>
            <w:tcW w:w="119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升降柱灯带</w:t>
            </w:r>
          </w:p>
        </w:tc>
        <w:tc>
          <w:tcPr>
            <w:tcW w:w="4678"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根</w:t>
            </w:r>
          </w:p>
        </w:tc>
        <w:tc>
          <w:tcPr>
            <w:tcW w:w="700"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700" w:type="dxa"/>
            <w:tcBorders>
              <w:top w:val="nil"/>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3</w:t>
            </w:r>
          </w:p>
        </w:tc>
        <w:tc>
          <w:tcPr>
            <w:tcW w:w="1190" w:type="dxa"/>
            <w:tcBorders>
              <w:top w:val="nil"/>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控制系统</w:t>
            </w:r>
          </w:p>
        </w:tc>
        <w:tc>
          <w:tcPr>
            <w:tcW w:w="4678" w:type="dxa"/>
            <w:tcBorders>
              <w:top w:val="nil"/>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nil"/>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nil"/>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套</w:t>
            </w:r>
          </w:p>
        </w:tc>
        <w:tc>
          <w:tcPr>
            <w:tcW w:w="700" w:type="dxa"/>
            <w:tcBorders>
              <w:top w:val="nil"/>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nil"/>
              <w:left w:val="single" w:color="000000" w:sz="4" w:space="0"/>
              <w:bottom w:val="single" w:color="auto"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10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hint="eastAsia" w:ascii="宋体" w:hAnsi="宋体" w:eastAsia="宋体" w:cs="宋体"/>
                <w:color w:val="333333"/>
                <w:kern w:val="0"/>
                <w:sz w:val="18"/>
                <w:szCs w:val="18"/>
                <w:lang w:bidi="ar"/>
              </w:rPr>
              <w:t>4</w:t>
            </w:r>
          </w:p>
        </w:tc>
        <w:tc>
          <w:tcPr>
            <w:tcW w:w="119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排水系统</w:t>
            </w:r>
          </w:p>
        </w:tc>
        <w:tc>
          <w:tcPr>
            <w:tcW w:w="467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套</w:t>
            </w:r>
          </w:p>
        </w:tc>
        <w:tc>
          <w:tcPr>
            <w:tcW w:w="70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auto"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5</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移动护栏路障</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套</w:t>
            </w:r>
          </w:p>
        </w:tc>
        <w:tc>
          <w:tcPr>
            <w:tcW w:w="700"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700" w:type="dxa"/>
            <w:tcBorders>
              <w:top w:val="nil"/>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84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6</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辅材、配件</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sz w:val="18"/>
                <w:szCs w:val="18"/>
              </w:rPr>
              <w:t>包括但不限于遥控器、电源线、水泥、沙石、钢筋、水管、线管等材料、配件</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报价时可分项单独报价</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7</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机械费用</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333333"/>
                <w:sz w:val="18"/>
                <w:szCs w:val="18"/>
              </w:rPr>
            </w:pPr>
            <w:r>
              <w:rPr>
                <w:rFonts w:ascii="宋体" w:hAnsi="宋体" w:eastAsia="宋体" w:cs="宋体"/>
                <w:color w:val="333333"/>
                <w:kern w:val="0"/>
                <w:sz w:val="18"/>
                <w:szCs w:val="18"/>
                <w:lang w:bidi="ar"/>
              </w:rPr>
              <w:t>8</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人工安装实施费</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00"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560" w:hRule="atLeast"/>
        </w:trPr>
        <w:tc>
          <w:tcPr>
            <w:tcW w:w="730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b/>
                <w:bCs/>
                <w:color w:val="333333"/>
                <w:sz w:val="18"/>
                <w:szCs w:val="18"/>
              </w:rPr>
            </w:pPr>
            <w:r>
              <w:rPr>
                <w:rFonts w:hint="eastAsia" w:ascii="宋体" w:hAnsi="宋体" w:eastAsia="宋体" w:cs="宋体"/>
                <w:b/>
                <w:bCs/>
                <w:color w:val="333333"/>
                <w:kern w:val="0"/>
                <w:sz w:val="18"/>
                <w:szCs w:val="18"/>
                <w:lang w:bidi="ar"/>
              </w:rPr>
              <w:t>B：小计</w:t>
            </w:r>
          </w:p>
        </w:tc>
        <w:tc>
          <w:tcPr>
            <w:tcW w:w="267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b/>
                <w:bCs/>
                <w:color w:val="333333"/>
                <w:kern w:val="0"/>
                <w:sz w:val="18"/>
                <w:szCs w:val="18"/>
                <w:lang w:bidi="ar"/>
              </w:rPr>
            </w:pPr>
            <w:r>
              <w:rPr>
                <w:rFonts w:hint="eastAsia" w:ascii="宋体" w:hAnsi="宋体" w:eastAsia="宋体" w:cs="宋体"/>
                <w:b/>
                <w:bCs/>
                <w:color w:val="333333"/>
                <w:kern w:val="0"/>
                <w:sz w:val="18"/>
                <w:szCs w:val="18"/>
                <w:lang w:bidi="ar"/>
              </w:rPr>
              <w:t xml:space="preserve"> </w:t>
            </w:r>
            <w:r>
              <w:rPr>
                <w:rFonts w:ascii="宋体" w:hAnsi="宋体" w:eastAsia="宋体" w:cs="宋体"/>
                <w:b/>
                <w:bCs/>
                <w:color w:val="333333"/>
                <w:kern w:val="0"/>
                <w:sz w:val="18"/>
                <w:szCs w:val="18"/>
                <w:lang w:bidi="ar"/>
              </w:rPr>
              <w:t xml:space="preserve">                        </w:t>
            </w:r>
            <w:r>
              <w:rPr>
                <w:rFonts w:hint="eastAsia" w:ascii="宋体" w:hAnsi="宋体" w:eastAsia="宋体" w:cs="宋体"/>
                <w:b/>
                <w:bCs/>
                <w:color w:val="333333"/>
                <w:kern w:val="0"/>
                <w:sz w:val="18"/>
                <w:szCs w:val="18"/>
                <w:lang w:bidi="ar"/>
              </w:rPr>
              <w:t>元</w:t>
            </w:r>
          </w:p>
        </w:tc>
      </w:tr>
      <w:tr>
        <w:tblPrEx>
          <w:tblCellMar>
            <w:top w:w="0" w:type="dxa"/>
            <w:left w:w="108" w:type="dxa"/>
            <w:bottom w:w="0" w:type="dxa"/>
            <w:right w:w="108" w:type="dxa"/>
          </w:tblCellMar>
        </w:tblPrEx>
        <w:trPr>
          <w:trHeight w:val="560" w:hRule="atLeast"/>
        </w:trPr>
        <w:tc>
          <w:tcPr>
            <w:tcW w:w="9975"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kern w:val="0"/>
                <w:sz w:val="18"/>
                <w:szCs w:val="18"/>
                <w:lang w:bidi="ar"/>
              </w:rPr>
            </w:pPr>
            <w:r>
              <w:rPr>
                <w:rFonts w:ascii="宋体" w:hAnsi="宋体" w:eastAsia="宋体" w:cs="宋体"/>
                <w:color w:val="000000"/>
                <w:kern w:val="0"/>
                <w:sz w:val="18"/>
                <w:szCs w:val="18"/>
                <w:lang w:bidi="ar"/>
              </w:rPr>
              <w:t>报价单位（加盖公章）：</w:t>
            </w:r>
            <w:r>
              <w:rPr>
                <w:rFonts w:hint="eastAsia" w:ascii="宋体" w:hAnsi="宋体" w:eastAsia="宋体" w:cs="宋体"/>
                <w:color w:val="000000"/>
                <w:kern w:val="0"/>
                <w:sz w:val="18"/>
                <w:szCs w:val="18"/>
                <w:lang w:bidi="ar"/>
              </w:rPr>
              <w:t xml:space="preserve"> </w:t>
            </w:r>
            <w:r>
              <w:rPr>
                <w:rFonts w:ascii="宋体" w:hAnsi="宋体" w:eastAsia="宋体" w:cs="宋体"/>
                <w:color w:val="000000"/>
                <w:kern w:val="0"/>
                <w:sz w:val="18"/>
                <w:szCs w:val="18"/>
                <w:lang w:bidi="ar"/>
              </w:rPr>
              <w:t xml:space="preserve">                                                 报价日期：</w:t>
            </w:r>
          </w:p>
          <w:p>
            <w:pPr>
              <w:widowControl/>
              <w:jc w:val="left"/>
              <w:textAlignment w:val="center"/>
              <w:rPr>
                <w:rFonts w:ascii="宋体" w:hAnsi="宋体" w:eastAsia="宋体" w:cs="宋体"/>
                <w:b/>
                <w:bCs/>
                <w:color w:val="333333"/>
                <w:kern w:val="0"/>
                <w:sz w:val="18"/>
                <w:szCs w:val="18"/>
                <w:lang w:bidi="ar"/>
              </w:rPr>
            </w:pPr>
          </w:p>
          <w:p>
            <w:pPr>
              <w:widowControl/>
              <w:jc w:val="left"/>
              <w:textAlignment w:val="center"/>
              <w:rPr>
                <w:rFonts w:ascii="宋体" w:hAnsi="宋体" w:eastAsia="宋体" w:cs="宋体"/>
                <w:b/>
                <w:bCs/>
                <w:color w:val="333333"/>
                <w:kern w:val="0"/>
                <w:sz w:val="18"/>
                <w:szCs w:val="18"/>
                <w:lang w:bidi="ar"/>
              </w:rPr>
            </w:pPr>
          </w:p>
          <w:p>
            <w:pPr>
              <w:widowControl/>
              <w:jc w:val="left"/>
              <w:textAlignment w:val="center"/>
              <w:rPr>
                <w:rFonts w:ascii="宋体" w:hAnsi="宋体" w:eastAsia="宋体" w:cs="宋体"/>
                <w:b/>
                <w:bCs/>
                <w:color w:val="333333"/>
                <w:kern w:val="0"/>
                <w:sz w:val="18"/>
                <w:szCs w:val="18"/>
                <w:lang w:bidi="ar"/>
              </w:rPr>
            </w:pPr>
          </w:p>
          <w:p>
            <w:pPr>
              <w:widowControl/>
              <w:jc w:val="left"/>
              <w:textAlignment w:val="center"/>
              <w:rPr>
                <w:rFonts w:ascii="宋体" w:hAnsi="宋体" w:eastAsia="宋体" w:cs="宋体"/>
                <w:b/>
                <w:bCs/>
                <w:color w:val="333333"/>
                <w:kern w:val="0"/>
                <w:sz w:val="18"/>
                <w:szCs w:val="18"/>
                <w:lang w:bidi="ar"/>
              </w:rPr>
            </w:pPr>
            <w:r>
              <w:rPr>
                <w:rFonts w:ascii="宋体" w:hAnsi="宋体" w:eastAsia="宋体" w:cs="宋体"/>
                <w:color w:val="000000"/>
                <w:kern w:val="0"/>
                <w:sz w:val="18"/>
                <w:szCs w:val="18"/>
                <w:lang w:bidi="ar"/>
              </w:rPr>
              <w:t>报价人：</w:t>
            </w:r>
            <w:r>
              <w:rPr>
                <w:rFonts w:hint="eastAsia" w:ascii="宋体" w:hAnsi="宋体" w:eastAsia="宋体" w:cs="宋体"/>
                <w:color w:val="000000"/>
                <w:kern w:val="0"/>
                <w:sz w:val="18"/>
                <w:szCs w:val="18"/>
                <w:lang w:bidi="ar"/>
              </w:rPr>
              <w:t xml:space="preserve"> </w:t>
            </w:r>
            <w:r>
              <w:rPr>
                <w:rFonts w:ascii="宋体" w:hAnsi="宋体" w:eastAsia="宋体" w:cs="宋体"/>
                <w:color w:val="000000"/>
                <w:kern w:val="0"/>
                <w:sz w:val="18"/>
                <w:szCs w:val="18"/>
                <w:lang w:bidi="ar"/>
              </w:rPr>
              <w:t xml:space="preserve">                                                               联系方式：</w:t>
            </w:r>
          </w:p>
        </w:tc>
      </w:tr>
    </w:tbl>
    <w:p>
      <w:pPr>
        <w:spacing w:line="360" w:lineRule="auto"/>
        <w:rPr>
          <w:rFonts w:ascii="宋体" w:hAnsi="宋体" w:eastAsia="宋体" w:cs="宋体"/>
          <w:b/>
          <w:bCs/>
          <w:sz w:val="24"/>
        </w:rPr>
      </w:pPr>
      <w:r>
        <w:rPr>
          <w:rFonts w:hint="eastAsia" w:ascii="宋体" w:hAnsi="宋体" w:eastAsia="宋体" w:cs="宋体"/>
          <w:b/>
          <w:bCs/>
          <w:sz w:val="24"/>
        </w:rPr>
        <w:t>八、技术及服务要求</w:t>
      </w:r>
    </w:p>
    <w:p>
      <w:pPr>
        <w:spacing w:line="360" w:lineRule="auto"/>
        <w:rPr>
          <w:rFonts w:ascii="宋体" w:hAnsi="宋体" w:eastAsia="宋体" w:cs="宋体"/>
          <w:b/>
          <w:bCs/>
          <w:sz w:val="24"/>
        </w:rPr>
      </w:pPr>
      <w:r>
        <w:rPr>
          <w:rFonts w:hint="eastAsia" w:ascii="宋体" w:hAnsi="宋体" w:eastAsia="宋体" w:cs="宋体"/>
          <w:b/>
          <w:bCs/>
          <w:sz w:val="24"/>
        </w:rPr>
        <w:t>（一）技术服务要求：</w:t>
      </w:r>
    </w:p>
    <w:p>
      <w:pPr>
        <w:spacing w:line="360" w:lineRule="auto"/>
        <w:ind w:firstLine="480" w:firstLineChars="200"/>
        <w:rPr>
          <w:rFonts w:ascii="宋体" w:hAnsi="宋体" w:eastAsia="宋体" w:cs="宋体"/>
          <w:sz w:val="24"/>
        </w:rPr>
      </w:pPr>
      <w:r>
        <w:rPr>
          <w:rFonts w:hint="eastAsia" w:ascii="宋体" w:hAnsi="宋体" w:eastAsia="宋体" w:cs="宋体"/>
          <w:sz w:val="24"/>
        </w:rPr>
        <w:t>1.投标人应提供必备的技术资料，所提供产品必须是全新未使用过的。</w:t>
      </w:r>
    </w:p>
    <w:p>
      <w:pPr>
        <w:spacing w:line="360" w:lineRule="auto"/>
        <w:ind w:firstLine="480" w:firstLineChars="200"/>
        <w:rPr>
          <w:rFonts w:ascii="宋体" w:hAnsi="宋体" w:eastAsia="宋体" w:cs="宋体"/>
          <w:sz w:val="24"/>
        </w:rPr>
      </w:pPr>
      <w:r>
        <w:rPr>
          <w:rFonts w:hint="eastAsia" w:ascii="宋体" w:hAnsi="宋体" w:eastAsia="宋体" w:cs="宋体"/>
          <w:sz w:val="24"/>
        </w:rPr>
        <w:t>2.采用智能全天候结构设计、智能管理、具备物理冲撞较强参数；提供主要零部件的技术性能参数（列出清单）。</w:t>
      </w:r>
    </w:p>
    <w:p>
      <w:pPr>
        <w:spacing w:line="360" w:lineRule="auto"/>
        <w:ind w:firstLine="480" w:firstLineChars="200"/>
        <w:rPr>
          <w:rFonts w:ascii="宋体" w:hAnsi="宋体" w:eastAsia="宋体" w:cs="宋体"/>
          <w:sz w:val="24"/>
        </w:rPr>
      </w:pPr>
      <w:r>
        <w:rPr>
          <w:rFonts w:hint="eastAsia" w:ascii="宋体" w:hAnsi="宋体" w:eastAsia="宋体" w:cs="宋体"/>
          <w:sz w:val="24"/>
        </w:rPr>
        <w:t>3.提供保养、维修操作规程、产品质保期限以及产品运行的经济成本分析资料。</w:t>
      </w:r>
    </w:p>
    <w:p>
      <w:pPr>
        <w:spacing w:line="360" w:lineRule="auto"/>
        <w:rPr>
          <w:rFonts w:ascii="宋体" w:hAnsi="宋体" w:eastAsia="宋体" w:cs="宋体"/>
          <w:b/>
          <w:bCs/>
          <w:sz w:val="24"/>
        </w:rPr>
      </w:pPr>
      <w:r>
        <w:rPr>
          <w:rFonts w:hint="eastAsia" w:ascii="宋体" w:hAnsi="宋体" w:eastAsia="宋体" w:cs="宋体"/>
          <w:b/>
          <w:bCs/>
          <w:sz w:val="24"/>
        </w:rPr>
        <w:t>（二）安装及调试的有关要求：</w:t>
      </w:r>
    </w:p>
    <w:p>
      <w:pPr>
        <w:spacing w:line="360" w:lineRule="auto"/>
        <w:ind w:firstLine="480" w:firstLineChars="200"/>
        <w:rPr>
          <w:rFonts w:ascii="宋体" w:hAnsi="宋体" w:eastAsia="宋体" w:cs="宋体"/>
          <w:sz w:val="24"/>
        </w:rPr>
      </w:pPr>
      <w:r>
        <w:rPr>
          <w:rFonts w:hint="eastAsia" w:ascii="宋体" w:hAnsi="宋体" w:eastAsia="宋体" w:cs="宋体"/>
          <w:sz w:val="24"/>
        </w:rPr>
        <w:t>1.中标人应遵守现场的一切规章制度，应自行负责现场的安全管理，安全、文明安装和调试。</w:t>
      </w:r>
    </w:p>
    <w:p>
      <w:pPr>
        <w:spacing w:line="360" w:lineRule="auto"/>
        <w:ind w:firstLine="480" w:firstLineChars="200"/>
        <w:rPr>
          <w:rFonts w:ascii="宋体" w:hAnsi="宋体" w:eastAsia="宋体" w:cs="宋体"/>
          <w:sz w:val="24"/>
        </w:rPr>
      </w:pPr>
      <w:r>
        <w:rPr>
          <w:rFonts w:hint="eastAsia" w:ascii="宋体" w:hAnsi="宋体" w:eastAsia="宋体" w:cs="宋体"/>
          <w:sz w:val="24"/>
        </w:rPr>
        <w:t>2.中标人应对产品、安装产品（工具）等提供适当的保护、包装或覆盖等处理，以免受损。</w:t>
      </w:r>
    </w:p>
    <w:p>
      <w:pPr>
        <w:spacing w:line="360" w:lineRule="auto"/>
        <w:ind w:firstLine="480" w:firstLineChars="200"/>
        <w:rPr>
          <w:rFonts w:ascii="宋体" w:hAnsi="宋体" w:eastAsia="宋体" w:cs="宋体"/>
          <w:sz w:val="24"/>
        </w:rPr>
      </w:pPr>
      <w:r>
        <w:rPr>
          <w:rFonts w:hint="eastAsia" w:ascii="宋体" w:hAnsi="宋体" w:eastAsia="宋体" w:cs="宋体"/>
          <w:sz w:val="24"/>
        </w:rPr>
        <w:t>3.无论安装调试期间或保修过程中，中标人负责及时对安装现场进行清理。</w:t>
      </w:r>
    </w:p>
    <w:p>
      <w:pPr>
        <w:spacing w:line="360" w:lineRule="auto"/>
        <w:ind w:firstLine="480" w:firstLineChars="200"/>
        <w:rPr>
          <w:rFonts w:ascii="宋体" w:hAnsi="宋体" w:eastAsia="宋体" w:cs="宋体"/>
          <w:sz w:val="24"/>
        </w:rPr>
      </w:pPr>
      <w:r>
        <w:rPr>
          <w:rFonts w:hint="eastAsia" w:ascii="宋体" w:hAnsi="宋体" w:eastAsia="宋体" w:cs="宋体"/>
          <w:sz w:val="24"/>
        </w:rPr>
        <w:t>4.中标人承担安装调试期间安装场所的安全以及产品和安装调试人员的安全责任。</w:t>
      </w:r>
    </w:p>
    <w:p>
      <w:pPr>
        <w:spacing w:line="360" w:lineRule="auto"/>
        <w:rPr>
          <w:rFonts w:ascii="宋体" w:hAnsi="宋体" w:eastAsia="宋体" w:cs="宋体"/>
          <w:b/>
          <w:bCs/>
          <w:sz w:val="24"/>
        </w:rPr>
      </w:pPr>
      <w:r>
        <w:rPr>
          <w:rFonts w:hint="eastAsia" w:ascii="宋体" w:hAnsi="宋体" w:eastAsia="宋体" w:cs="宋体"/>
          <w:b/>
          <w:bCs/>
          <w:sz w:val="24"/>
        </w:rPr>
        <w:t>九、质量及验收</w:t>
      </w:r>
    </w:p>
    <w:p>
      <w:pPr>
        <w:spacing w:line="360" w:lineRule="auto"/>
        <w:ind w:firstLine="480" w:firstLineChars="200"/>
        <w:rPr>
          <w:rFonts w:ascii="宋体" w:hAnsi="宋体" w:eastAsia="宋体" w:cs="宋体"/>
          <w:sz w:val="24"/>
        </w:rPr>
      </w:pPr>
      <w:r>
        <w:rPr>
          <w:rFonts w:hint="eastAsia" w:ascii="宋体" w:hAnsi="宋体" w:eastAsia="宋体" w:cs="宋体"/>
          <w:sz w:val="24"/>
        </w:rPr>
        <w:t>1.国产产品按国家标准（无国家标准的按部标或行业标准要求制造、验收，需进口的应执行原产地国家有关部门最新颁布的相应正式标准。如对产品质量有争议，采购人可委托国家认定的相关部门对产品进行质量检验，并以质检部门出具的检验报告为准，由责任方承担全部责任。 验收不合格，中标人应无条件调换至验收合格为止，因此造成的一切损失由中标人自行承担。</w:t>
      </w:r>
    </w:p>
    <w:p>
      <w:pPr>
        <w:spacing w:line="360" w:lineRule="auto"/>
        <w:ind w:firstLine="480" w:firstLineChars="200"/>
        <w:rPr>
          <w:rFonts w:ascii="宋体" w:hAnsi="宋体" w:eastAsia="宋体" w:cs="宋体"/>
          <w:sz w:val="24"/>
        </w:rPr>
      </w:pPr>
      <w:r>
        <w:rPr>
          <w:rFonts w:hint="eastAsia" w:ascii="宋体" w:hAnsi="宋体" w:eastAsia="宋体" w:cs="宋体"/>
          <w:sz w:val="24"/>
        </w:rPr>
        <w:t>2.中标人应提供详细的质量保证措施、产品质量、稳定性、易用性保证措施、相关技术文档及产品使用说明书等。</w:t>
      </w:r>
    </w:p>
    <w:p>
      <w:pPr>
        <w:spacing w:line="360" w:lineRule="auto"/>
        <w:rPr>
          <w:rFonts w:ascii="宋体" w:hAnsi="宋体" w:eastAsia="宋体" w:cs="宋体"/>
          <w:b/>
          <w:bCs/>
          <w:sz w:val="24"/>
        </w:rPr>
      </w:pPr>
      <w:r>
        <w:rPr>
          <w:rFonts w:hint="eastAsia" w:ascii="宋体" w:hAnsi="宋体" w:eastAsia="宋体" w:cs="宋体"/>
          <w:b/>
          <w:bCs/>
          <w:sz w:val="24"/>
        </w:rPr>
        <w:t>十、售后服务</w:t>
      </w:r>
    </w:p>
    <w:p>
      <w:pPr>
        <w:spacing w:line="360" w:lineRule="auto"/>
        <w:ind w:firstLine="480" w:firstLineChars="200"/>
        <w:rPr>
          <w:rFonts w:ascii="宋体" w:hAnsi="宋体" w:eastAsia="宋体" w:cs="宋体"/>
          <w:sz w:val="24"/>
        </w:rPr>
      </w:pPr>
      <w:r>
        <w:rPr>
          <w:rFonts w:hint="eastAsia" w:ascii="宋体" w:hAnsi="宋体" w:eastAsia="宋体" w:cs="宋体"/>
          <w:sz w:val="24"/>
        </w:rPr>
        <w:t>1.质量保证期（简称“质保期”）为2年，质保期内供应商对所供整个项目的货物、机电安装及装修的项目实行包修、包换、包退。</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在质保期内发现的由于产品本身的原因造成故障或损坏，中标人应免费修复，无法修复的应免费更换。质保期内，维修、更换等所需一切支出（包括技术人员旅费等支出）由中标人负责；质保期后应保证有充足的备件供应，中标人应对其产品提供终身技术服务、维修，更换只向采购人收取维修服务中所用的材料成本费，不收取人工费。</w:t>
      </w:r>
    </w:p>
    <w:p>
      <w:pPr>
        <w:spacing w:line="360" w:lineRule="auto"/>
        <w:ind w:firstLine="480" w:firstLineChars="200"/>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在质保期内除采购人为使用不当造成的破坏、损坏外，出现的任何质量问题，应以优良的服务态度、便利、快捷的方式应立即响应，如遇质量问题1小时内响应，2小时内赶到现场解决产品故障。如因不及时响应而导致不良后果的，由中标方承担一切经济损失及法律责任。接到采购人报修电话超</w:t>
      </w:r>
      <w:r>
        <w:rPr>
          <w:rFonts w:ascii="宋体" w:hAnsi="宋体" w:eastAsia="宋体" w:cs="宋体"/>
          <w:sz w:val="24"/>
        </w:rPr>
        <w:t>2</w:t>
      </w:r>
      <w:r>
        <w:rPr>
          <w:rFonts w:hint="eastAsia" w:ascii="宋体" w:hAnsi="宋体" w:eastAsia="宋体" w:cs="宋体"/>
          <w:sz w:val="24"/>
        </w:rPr>
        <w:t>小时未到达现场，经确认后扣除 100 元/次，从预留尾款中扣除。</w:t>
      </w:r>
    </w:p>
    <w:p>
      <w:pPr>
        <w:spacing w:line="360" w:lineRule="auto"/>
        <w:ind w:firstLine="480" w:firstLineChars="200"/>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中标人须保障采购人在使用该产品或其任何一部分时不受到第三方关于侵犯专利权、商标权或工业设计权的指控。如果任何第三方提出侵权指控，中标人须与第三方交涉，并承担由此而产生的索赔、损失、损害、支出等一切费用（含律师费）。如采购人因此而遭致损失的，中标人应赔偿该损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9B5BBA"/>
    <w:multiLevelType w:val="multilevel"/>
    <w:tmpl w:val="479B5BBA"/>
    <w:lvl w:ilvl="0" w:tentative="0">
      <w:start w:val="1"/>
      <w:numFmt w:val="chineseCountingThousand"/>
      <w:pStyle w:val="2"/>
      <w:suff w:val="space"/>
      <w:lvlText w:val="第 %1 章"/>
      <w:lvlJc w:val="left"/>
      <w:pPr>
        <w:ind w:left="0" w:firstLine="0"/>
      </w:pPr>
      <w:rPr>
        <w:b w:val="0"/>
        <w:bCs w:val="0"/>
        <w:i w:val="0"/>
        <w:iCs w:val="0"/>
        <w:caps w:val="0"/>
        <w:smallCaps w:val="0"/>
        <w:strike w:val="0"/>
        <w:dstrike w:val="0"/>
        <w:vanish w:val="0"/>
        <w:spacing w:val="0"/>
        <w:position w:val="0"/>
        <w:sz w:val="44"/>
        <w:szCs w:val="4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isLgl/>
      <w:suff w:val="space"/>
      <w:lvlText w:val="%1.%2"/>
      <w:lvlJc w:val="left"/>
      <w:pPr>
        <w:ind w:left="0" w:firstLine="0"/>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shd w:val="clear" w:color="auto" w:fill="auto"/>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isLgl/>
      <w:suff w:val="space"/>
      <w:lvlText w:val="%1.%2.%3"/>
      <w:lvlJc w:val="left"/>
      <w:pPr>
        <w:ind w:left="0" w:firstLine="0"/>
      </w:pPr>
      <w:rPr>
        <w:rFonts w:hint="eastAsia" w:cs="Times New Roman"/>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isLgl/>
      <w:suff w:val="space"/>
      <w:lvlText w:val="%1.%2.%3.%4"/>
      <w:lvlJc w:val="left"/>
      <w:pPr>
        <w:ind w:left="1417" w:firstLine="0"/>
      </w:pPr>
      <w:rPr>
        <w:rFonts w:hint="default" w:ascii="Arial" w:hAnsi="Arial" w:eastAsia="黑体"/>
        <w:b w:val="0"/>
        <w:i w:val="0"/>
        <w:sz w:val="30"/>
      </w:rPr>
    </w:lvl>
    <w:lvl w:ilvl="4" w:tentative="0">
      <w:start w:val="1"/>
      <w:numFmt w:val="decimal"/>
      <w:isLgl/>
      <w:suff w:val="space"/>
      <w:lvlText w:val="%1.%2.%3.%4.%5"/>
      <w:lvlJc w:val="left"/>
      <w:pPr>
        <w:ind w:left="0" w:firstLine="0"/>
      </w:pPr>
      <w:rPr>
        <w:rFonts w:hint="default" w:ascii="Arial" w:hAnsi="Arial" w:eastAsia="黑体"/>
        <w:b w:val="0"/>
        <w:i w:val="0"/>
        <w:sz w:val="28"/>
      </w:rPr>
    </w:lvl>
    <w:lvl w:ilvl="5" w:tentative="0">
      <w:start w:val="1"/>
      <w:numFmt w:val="decimal"/>
      <w:isLgl/>
      <w:suff w:val="space"/>
      <w:lvlText w:val="%1.%2.%3.%4.%5.%6"/>
      <w:lvlJc w:val="left"/>
      <w:pPr>
        <w:ind w:left="0" w:firstLine="0"/>
      </w:pPr>
      <w:rPr>
        <w:rFonts w:hint="eastAsia"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isLgl/>
      <w:suff w:val="space"/>
      <w:lvlText w:val="%1.%2.%3.%4.%5.%6.%7"/>
      <w:lvlJc w:val="left"/>
      <w:pPr>
        <w:ind w:left="0" w:firstLine="0"/>
      </w:pPr>
      <w:rPr>
        <w:rFonts w:hint="eastAsia"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decimal"/>
      <w:isLgl/>
      <w:suff w:val="space"/>
      <w:lvlText w:val="%1.%2.%3.%4.%5.%6.%7.%8"/>
      <w:lvlJc w:val="left"/>
      <w:pPr>
        <w:ind w:left="0" w:firstLine="0"/>
      </w:pPr>
      <w:rPr>
        <w:rFonts w:hint="eastAsia"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8" w:tentative="0">
      <w:start w:val="1"/>
      <w:numFmt w:val="decimal"/>
      <w:isLgl/>
      <w:suff w:val="space"/>
      <w:lvlText w:val="%1.%2.%3.%4.%5.%6.%7.%8.%9"/>
      <w:lvlJc w:val="left"/>
      <w:pPr>
        <w:ind w:left="0"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ZDhjODc2OTVhYTM2ZDI0ZTM5NzFjYmRlODI3MTQifQ=="/>
  </w:docVars>
  <w:rsids>
    <w:rsidRoot w:val="000F376C"/>
    <w:rsid w:val="00013654"/>
    <w:rsid w:val="000F376C"/>
    <w:rsid w:val="001A2AB9"/>
    <w:rsid w:val="00352DB2"/>
    <w:rsid w:val="003831B3"/>
    <w:rsid w:val="00425F42"/>
    <w:rsid w:val="005F4754"/>
    <w:rsid w:val="00997687"/>
    <w:rsid w:val="009C5999"/>
    <w:rsid w:val="00A44A64"/>
    <w:rsid w:val="00AB630A"/>
    <w:rsid w:val="00AE0DAA"/>
    <w:rsid w:val="00C35BD3"/>
    <w:rsid w:val="00C841F4"/>
    <w:rsid w:val="00CC3D1B"/>
    <w:rsid w:val="03E31959"/>
    <w:rsid w:val="09AA6564"/>
    <w:rsid w:val="0F8C6CB2"/>
    <w:rsid w:val="11157CD2"/>
    <w:rsid w:val="12067FF9"/>
    <w:rsid w:val="121A24A3"/>
    <w:rsid w:val="12B24650"/>
    <w:rsid w:val="149D2EFA"/>
    <w:rsid w:val="14F96BB1"/>
    <w:rsid w:val="1541176E"/>
    <w:rsid w:val="16646293"/>
    <w:rsid w:val="18AC5CCF"/>
    <w:rsid w:val="1D2616DA"/>
    <w:rsid w:val="1FC8772B"/>
    <w:rsid w:val="206F2120"/>
    <w:rsid w:val="208A3BFA"/>
    <w:rsid w:val="21981267"/>
    <w:rsid w:val="23733F43"/>
    <w:rsid w:val="25551BC9"/>
    <w:rsid w:val="25B62B73"/>
    <w:rsid w:val="265356C9"/>
    <w:rsid w:val="26A3639D"/>
    <w:rsid w:val="26B43566"/>
    <w:rsid w:val="273A59F5"/>
    <w:rsid w:val="28D01566"/>
    <w:rsid w:val="2DF23D90"/>
    <w:rsid w:val="2F964EC3"/>
    <w:rsid w:val="2FA10742"/>
    <w:rsid w:val="3E501E94"/>
    <w:rsid w:val="3F4D3FD0"/>
    <w:rsid w:val="41245A4A"/>
    <w:rsid w:val="49807E6F"/>
    <w:rsid w:val="4B5F6A4E"/>
    <w:rsid w:val="4CE55676"/>
    <w:rsid w:val="4D5A240B"/>
    <w:rsid w:val="4F5C631D"/>
    <w:rsid w:val="50C35727"/>
    <w:rsid w:val="51D51818"/>
    <w:rsid w:val="5639752B"/>
    <w:rsid w:val="582F1D59"/>
    <w:rsid w:val="597343B9"/>
    <w:rsid w:val="59C84922"/>
    <w:rsid w:val="5A59329D"/>
    <w:rsid w:val="5AFB3D67"/>
    <w:rsid w:val="5B4C7A4C"/>
    <w:rsid w:val="5B7C790D"/>
    <w:rsid w:val="5C444B10"/>
    <w:rsid w:val="5ED3313F"/>
    <w:rsid w:val="63E24AF4"/>
    <w:rsid w:val="66847894"/>
    <w:rsid w:val="67026394"/>
    <w:rsid w:val="6766336C"/>
    <w:rsid w:val="687F6476"/>
    <w:rsid w:val="6B59096C"/>
    <w:rsid w:val="6D693576"/>
    <w:rsid w:val="6E05302D"/>
    <w:rsid w:val="70710506"/>
    <w:rsid w:val="766A3571"/>
    <w:rsid w:val="77155883"/>
    <w:rsid w:val="77BC29AE"/>
    <w:rsid w:val="795F6892"/>
    <w:rsid w:val="7B550F00"/>
    <w:rsid w:val="7B864A1B"/>
    <w:rsid w:val="7D784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pageBreakBefore/>
      <w:numPr>
        <w:ilvl w:val="0"/>
        <w:numId w:val="1"/>
      </w:numPr>
      <w:tabs>
        <w:tab w:val="center" w:pos="0"/>
        <w:tab w:val="left" w:pos="3402"/>
        <w:tab w:val="left" w:pos="3828"/>
      </w:tabs>
      <w:spacing w:before="240" w:after="240"/>
      <w:jc w:val="center"/>
      <w:outlineLvl w:val="0"/>
    </w:pPr>
    <w:rPr>
      <w:rFonts w:eastAsia="黑体"/>
      <w:bCs/>
      <w:kern w:val="0"/>
      <w:sz w:val="44"/>
      <w:szCs w:val="44"/>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spacing w:line="360" w:lineRule="auto"/>
      <w:ind w:firstLine="420"/>
    </w:pPr>
    <w:rPr>
      <w:rFonts w:cs="Times New Roman"/>
      <w:szCs w:val="20"/>
    </w:rPr>
  </w:style>
  <w:style w:type="paragraph" w:styleId="4">
    <w:name w:val="Body Text"/>
    <w:basedOn w:val="1"/>
    <w:qFormat/>
    <w:uiPriority w:val="0"/>
    <w:pPr>
      <w:spacing w:after="120" w:line="360" w:lineRule="auto"/>
      <w:ind w:firstLine="200" w:firstLineChars="200"/>
    </w:pPr>
    <w:rPr>
      <w:rFonts w:ascii="Arial" w:hAnsi="Arial" w:cs="宋体"/>
      <w:szCs w:val="20"/>
    </w:rPr>
  </w:style>
  <w:style w:type="paragraph" w:styleId="5">
    <w:name w:val="footer"/>
    <w:basedOn w:val="1"/>
    <w:link w:val="17"/>
    <w:uiPriority w:val="0"/>
    <w:pPr>
      <w:tabs>
        <w:tab w:val="center" w:pos="4153"/>
        <w:tab w:val="right" w:pos="8306"/>
      </w:tabs>
      <w:snapToGrid w:val="0"/>
      <w:jc w:val="left"/>
    </w:pPr>
    <w:rPr>
      <w:sz w:val="18"/>
      <w:szCs w:val="18"/>
    </w:rPr>
  </w:style>
  <w:style w:type="paragraph" w:styleId="6">
    <w:name w:val="header"/>
    <w:basedOn w:val="1"/>
    <w:link w:val="16"/>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大标题"/>
    <w:basedOn w:val="2"/>
    <w:qFormat/>
    <w:uiPriority w:val="0"/>
    <w:rPr>
      <w:rFonts w:ascii="宋体"/>
      <w:snapToGrid w:val="0"/>
      <w:sz w:val="52"/>
      <w:szCs w:val="72"/>
    </w:rPr>
  </w:style>
  <w:style w:type="paragraph" w:customStyle="1" w:styleId="13">
    <w:name w:val="Table Paragraph"/>
    <w:basedOn w:val="1"/>
    <w:qFormat/>
    <w:uiPriority w:val="1"/>
    <w:rPr>
      <w:rFonts w:ascii="宋体" w:hAnsi="宋体" w:cs="宋体"/>
    </w:rPr>
  </w:style>
  <w:style w:type="character" w:customStyle="1" w:styleId="14">
    <w:name w:val="font41"/>
    <w:basedOn w:val="10"/>
    <w:qFormat/>
    <w:uiPriority w:val="0"/>
    <w:rPr>
      <w:rFonts w:hint="eastAsia" w:ascii="楷体" w:hAnsi="楷体" w:eastAsia="楷体" w:cs="楷体"/>
      <w:color w:val="000000"/>
      <w:sz w:val="20"/>
      <w:szCs w:val="20"/>
      <w:u w:val="none"/>
    </w:rPr>
  </w:style>
  <w:style w:type="character" w:customStyle="1" w:styleId="15">
    <w:name w:val="font101"/>
    <w:basedOn w:val="10"/>
    <w:qFormat/>
    <w:uiPriority w:val="0"/>
    <w:rPr>
      <w:rFonts w:hint="eastAsia" w:ascii="宋体" w:hAnsi="宋体" w:eastAsia="宋体" w:cs="宋体"/>
      <w:color w:val="000000"/>
      <w:sz w:val="20"/>
      <w:szCs w:val="20"/>
      <w:u w:val="none"/>
    </w:rPr>
  </w:style>
  <w:style w:type="character" w:customStyle="1" w:styleId="16">
    <w:name w:val="页眉 字符"/>
    <w:basedOn w:val="10"/>
    <w:link w:val="6"/>
    <w:qFormat/>
    <w:uiPriority w:val="0"/>
    <w:rPr>
      <w:rFonts w:asciiTheme="minorHAnsi" w:hAnsiTheme="minorHAnsi" w:eastAsiaTheme="minorEastAsia" w:cstheme="minorBidi"/>
      <w:kern w:val="2"/>
      <w:sz w:val="18"/>
      <w:szCs w:val="18"/>
    </w:rPr>
  </w:style>
  <w:style w:type="character" w:customStyle="1" w:styleId="17">
    <w:name w:val="页脚 字符"/>
    <w:basedOn w:val="10"/>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550</Words>
  <Characters>3139</Characters>
  <Lines>26</Lines>
  <Paragraphs>7</Paragraphs>
  <TotalTime>3</TotalTime>
  <ScaleCrop>false</ScaleCrop>
  <LinksUpToDate>false</LinksUpToDate>
  <CharactersWithSpaces>3682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2023-09-11T02:49:00Z</dcterms:created>
  <dc:creator>Administrator</dc:creator>
  <cp:lastModifiedBy>Administrator</cp:lastModifiedBy>
  <dcterms:modified xsi:type="dcterms:W3CDTF">2023-09-19T06:00:36Z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FB172654B77D43A9AC86D0C84E5B482B_13</vt:lpwstr>
  </property>
</Properties>
</file>